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D7D9C" w14:textId="0E54D5E1" w:rsidR="00D53550" w:rsidRPr="00D55310" w:rsidRDefault="00D53550" w:rsidP="00D53550">
      <w:pPr>
        <w:pStyle w:val="CRCoverPage"/>
        <w:rPr>
          <w:rFonts w:eastAsia="SimSun" w:cs="Arial"/>
          <w:bCs/>
          <w:noProof/>
          <w:sz w:val="24"/>
          <w:lang w:val="en-US"/>
        </w:rPr>
      </w:pPr>
      <w:r w:rsidRPr="00D55310">
        <w:rPr>
          <w:rFonts w:eastAsia="SimSun" w:cs="Arial"/>
          <w:bCs/>
          <w:noProof/>
          <w:sz w:val="24"/>
          <w:lang w:val="en-US"/>
        </w:rPr>
        <w:t xml:space="preserve">3GPP TSG RAN WG1 Meeting #88bis                                            </w:t>
      </w:r>
      <w:r>
        <w:rPr>
          <w:rFonts w:eastAsia="SimSun" w:cs="Arial"/>
          <w:bCs/>
          <w:noProof/>
          <w:sz w:val="24"/>
          <w:lang w:val="en-US"/>
        </w:rPr>
        <w:t xml:space="preserve">    </w:t>
      </w:r>
      <w:r w:rsidRPr="00D55310">
        <w:rPr>
          <w:rFonts w:eastAsia="SimSun" w:cs="Arial"/>
          <w:bCs/>
          <w:noProof/>
          <w:sz w:val="24"/>
          <w:lang w:val="en-US"/>
        </w:rPr>
        <w:tab/>
      </w:r>
      <w:r w:rsidR="009867D6" w:rsidRPr="009867D6">
        <w:rPr>
          <w:rFonts w:eastAsia="SimSun" w:cs="Arial"/>
          <w:bCs/>
          <w:noProof/>
          <w:sz w:val="24"/>
          <w:lang w:val="en-US"/>
        </w:rPr>
        <w:t>R1-170</w:t>
      </w:r>
      <w:r w:rsidR="00721AED">
        <w:rPr>
          <w:rFonts w:eastAsia="SimSun" w:cs="Arial"/>
          <w:bCs/>
          <w:noProof/>
          <w:sz w:val="24"/>
          <w:lang w:val="en-US"/>
        </w:rPr>
        <w:t>7751</w:t>
      </w:r>
    </w:p>
    <w:p w14:paraId="58089A85" w14:textId="77777777" w:rsidR="00D53550" w:rsidRDefault="00D53550" w:rsidP="00D53550">
      <w:pPr>
        <w:pStyle w:val="CRCoverPage"/>
        <w:rPr>
          <w:rFonts w:eastAsia="SimSun" w:cs="Arial"/>
          <w:bCs/>
          <w:noProof/>
          <w:sz w:val="24"/>
          <w:lang w:val="en-US"/>
        </w:rPr>
      </w:pPr>
      <w:r w:rsidRPr="00D55310">
        <w:rPr>
          <w:rFonts w:eastAsia="SimSun" w:cs="Arial"/>
          <w:bCs/>
          <w:noProof/>
          <w:sz w:val="24"/>
          <w:lang w:val="en-US"/>
        </w:rPr>
        <w:t>Spokane, USA 3rd - 7th April 2017</w:t>
      </w:r>
    </w:p>
    <w:p w14:paraId="48EB87D8" w14:textId="77777777" w:rsidR="001D7377" w:rsidRPr="000A64D8" w:rsidRDefault="001D7377" w:rsidP="001D7377">
      <w:pPr>
        <w:pStyle w:val="Footer"/>
        <w:jc w:val="both"/>
        <w:rPr>
          <w:noProof w:val="0"/>
        </w:rPr>
      </w:pPr>
    </w:p>
    <w:p w14:paraId="0EC7542C" w14:textId="6A3A488D"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B13A0">
        <w:rPr>
          <w:rFonts w:ascii="Arial" w:hAnsi="Arial"/>
          <w:sz w:val="24"/>
        </w:rPr>
        <w:t>7</w:t>
      </w:r>
      <w:r w:rsidR="003A1CDB">
        <w:rPr>
          <w:rFonts w:ascii="Arial" w:hAnsi="Arial"/>
          <w:sz w:val="24"/>
        </w:rPr>
        <w:t>.1.2.2.2</w:t>
      </w:r>
      <w:r>
        <w:rPr>
          <w:rFonts w:ascii="Arial" w:hAnsi="Arial"/>
          <w:sz w:val="24"/>
        </w:rPr>
        <w:tab/>
      </w:r>
    </w:p>
    <w:p w14:paraId="0FF4C247" w14:textId="77777777"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14:paraId="60A95DE8" w14:textId="7337B1AF" w:rsidR="00420203" w:rsidRDefault="001D7377" w:rsidP="00C92614">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F558E7" w:rsidRPr="008D098B">
        <w:rPr>
          <w:rFonts w:ascii="Arial" w:hAnsi="Arial"/>
          <w:sz w:val="24"/>
        </w:rPr>
        <w:t>Design principle</w:t>
      </w:r>
      <w:r w:rsidR="00B21435">
        <w:rPr>
          <w:rFonts w:ascii="Arial" w:hAnsi="Arial"/>
          <w:sz w:val="24"/>
        </w:rPr>
        <w:t>s</w:t>
      </w:r>
      <w:r w:rsidR="00F558E7" w:rsidRPr="008D098B">
        <w:rPr>
          <w:rFonts w:ascii="Arial" w:hAnsi="Arial"/>
          <w:sz w:val="24"/>
        </w:rPr>
        <w:t xml:space="preserve"> of beam recovery mechanism</w:t>
      </w:r>
    </w:p>
    <w:p w14:paraId="60D6C1C4" w14:textId="5C84883D" w:rsidR="001D7377" w:rsidRDefault="001D7377" w:rsidP="00C92614">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8D098B">
        <w:rPr>
          <w:rFonts w:ascii="Arial" w:hAnsi="Arial"/>
          <w:sz w:val="24"/>
        </w:rPr>
        <w:t>Discussion/Decision</w:t>
      </w:r>
    </w:p>
    <w:p w14:paraId="29D45538" w14:textId="77777777" w:rsidR="001D7377" w:rsidRDefault="001D7377" w:rsidP="001D7377">
      <w:pPr>
        <w:pStyle w:val="Heading1"/>
      </w:pPr>
      <w:r w:rsidRPr="00183CB7">
        <w:t>Introduction</w:t>
      </w:r>
    </w:p>
    <w:p w14:paraId="754B1D9E" w14:textId="36B3DC4E" w:rsidR="00D11AD9" w:rsidRDefault="00DE093B" w:rsidP="00D11AD9">
      <w:pPr>
        <w:rPr>
          <w:lang w:val="en-GB"/>
        </w:rPr>
      </w:pPr>
      <w:r>
        <w:rPr>
          <w:lang w:val="en-GB"/>
        </w:rPr>
        <w:t>In RAN1#88</w:t>
      </w:r>
      <w:r w:rsidR="006B13A0">
        <w:rPr>
          <w:lang w:val="en-GB"/>
        </w:rPr>
        <w:t>bis</w:t>
      </w:r>
      <w:r w:rsidR="004377F0">
        <w:rPr>
          <w:lang w:val="en-GB"/>
        </w:rPr>
        <w:t xml:space="preserve">, </w:t>
      </w:r>
      <w:r w:rsidR="007150AB">
        <w:rPr>
          <w:lang w:val="en-GB"/>
        </w:rPr>
        <w:t xml:space="preserve">progress has been made on </w:t>
      </w:r>
      <w:r w:rsidR="0097289C">
        <w:rPr>
          <w:lang w:val="en-GB"/>
        </w:rPr>
        <w:t>beam failure recovery mechanism</w:t>
      </w:r>
      <w:r w:rsidR="00507616">
        <w:rPr>
          <w:lang w:val="en-GB"/>
        </w:rPr>
        <w:t xml:space="preserve">. In this paper, we </w:t>
      </w:r>
      <w:r w:rsidR="007150AB">
        <w:rPr>
          <w:lang w:val="en-GB"/>
        </w:rPr>
        <w:t>give our overall view on the beam failure recovery procedure</w:t>
      </w:r>
      <w:r w:rsidR="00E9755B">
        <w:rPr>
          <w:lang w:val="en-GB"/>
        </w:rPr>
        <w:t xml:space="preserve"> design</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8C5199" w:rsidRDefault="006B13A0" w:rsidP="006B13A0">
      <w:pPr>
        <w:numPr>
          <w:ilvl w:val="0"/>
          <w:numId w:val="26"/>
        </w:numPr>
        <w:overflowPunct/>
        <w:autoSpaceDE/>
        <w:autoSpaceDN/>
        <w:adjustRightInd/>
        <w:spacing w:after="0"/>
        <w:textAlignment w:val="auto"/>
        <w:rPr>
          <w:rFonts w:eastAsia="MS Mincho"/>
          <w:lang w:eastAsia="ja-JP"/>
        </w:rPr>
      </w:pPr>
      <w:r w:rsidRPr="008C5199">
        <w:rPr>
          <w:rFonts w:eastAsia="MS Mincho"/>
          <w:lang w:eastAsia="ja-JP"/>
        </w:rPr>
        <w:t>UE Beam failure recovery mecha</w:t>
      </w:r>
      <w:r>
        <w:rPr>
          <w:rFonts w:eastAsia="MS Mincho"/>
          <w:lang w:eastAsia="ja-JP"/>
        </w:rPr>
        <w:t xml:space="preserve">nism includes the following </w:t>
      </w:r>
      <w:r>
        <w:rPr>
          <w:rFonts w:eastAsia="MS Mincho" w:hint="eastAsia"/>
          <w:lang w:eastAsia="ja-JP"/>
        </w:rPr>
        <w:t>aspects</w:t>
      </w:r>
    </w:p>
    <w:p w14:paraId="5914D069" w14:textId="77777777" w:rsidR="006B13A0" w:rsidRPr="008C5199" w:rsidRDefault="006B13A0" w:rsidP="006B13A0">
      <w:pPr>
        <w:numPr>
          <w:ilvl w:val="1"/>
          <w:numId w:val="26"/>
        </w:numPr>
        <w:overflowPunct/>
        <w:autoSpaceDE/>
        <w:autoSpaceDN/>
        <w:adjustRightInd/>
        <w:spacing w:after="0"/>
        <w:textAlignment w:val="auto"/>
        <w:rPr>
          <w:rFonts w:eastAsia="MS Mincho"/>
          <w:lang w:eastAsia="ja-JP"/>
        </w:rPr>
      </w:pPr>
      <w:r w:rsidRPr="008C5199">
        <w:rPr>
          <w:rFonts w:eastAsia="MS Mincho"/>
          <w:lang w:eastAsia="ja-JP"/>
        </w:rPr>
        <w:t>Beam failure detection</w:t>
      </w:r>
    </w:p>
    <w:p w14:paraId="0E8C1F78" w14:textId="77777777" w:rsidR="006B13A0" w:rsidRPr="00997C22" w:rsidRDefault="006B13A0" w:rsidP="006B13A0">
      <w:pPr>
        <w:numPr>
          <w:ilvl w:val="1"/>
          <w:numId w:val="26"/>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309FF179" w14:textId="77777777" w:rsidR="006B13A0" w:rsidRPr="008C5199" w:rsidRDefault="006B13A0" w:rsidP="006B13A0">
      <w:pPr>
        <w:numPr>
          <w:ilvl w:val="1"/>
          <w:numId w:val="26"/>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02FF6F40" w14:textId="77777777" w:rsidR="006B13A0" w:rsidRPr="008C5199" w:rsidRDefault="006B13A0" w:rsidP="006B13A0">
      <w:pPr>
        <w:numPr>
          <w:ilvl w:val="1"/>
          <w:numId w:val="26"/>
        </w:numPr>
        <w:overflowPunct/>
        <w:autoSpaceDE/>
        <w:autoSpaceDN/>
        <w:adjustRightInd/>
        <w:spacing w:after="0"/>
        <w:textAlignment w:val="auto"/>
        <w:rPr>
          <w:rFonts w:eastAsia="MS Mincho"/>
          <w:lang w:eastAsia="ja-JP"/>
        </w:rPr>
      </w:pPr>
      <w:r w:rsidRPr="008C5199">
        <w:rPr>
          <w:rFonts w:eastAsia="MS Mincho"/>
          <w:lang w:eastAsia="ja-JP"/>
        </w:rPr>
        <w:t>UE monitors gNB response for beam failure recovery request</w:t>
      </w:r>
    </w:p>
    <w:p w14:paraId="1C5B97E2" w14:textId="77777777" w:rsidR="006B13A0" w:rsidRPr="008C5199" w:rsidRDefault="006B13A0" w:rsidP="006B13A0">
      <w:pPr>
        <w:numPr>
          <w:ilvl w:val="0"/>
          <w:numId w:val="27"/>
        </w:numPr>
        <w:overflowPunct/>
        <w:autoSpaceDE/>
        <w:autoSpaceDN/>
        <w:adjustRightInd/>
        <w:spacing w:after="0"/>
        <w:textAlignment w:val="auto"/>
        <w:rPr>
          <w:rFonts w:eastAsia="MS Mincho"/>
          <w:lang w:eastAsia="ja-JP"/>
        </w:rPr>
      </w:pPr>
      <w:r w:rsidRPr="008C5199">
        <w:rPr>
          <w:rFonts w:eastAsia="MS Mincho"/>
          <w:lang w:eastAsia="ja-JP"/>
        </w:rPr>
        <w:t xml:space="preserve">Beam failure detection </w:t>
      </w:r>
    </w:p>
    <w:p w14:paraId="00DE8456"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UE monitors beam failure detection RS to assess if a beam failure trigger condition has been met</w:t>
      </w:r>
    </w:p>
    <w:p w14:paraId="73878971" w14:textId="77777777" w:rsidR="006B13A0"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Beam failure detection RS at least includes periodic CSI-RS for beam management</w:t>
      </w:r>
    </w:p>
    <w:p w14:paraId="31B0A8B7" w14:textId="77777777" w:rsidR="006B13A0" w:rsidRPr="002E512E" w:rsidRDefault="006B13A0" w:rsidP="006B13A0">
      <w:pPr>
        <w:numPr>
          <w:ilvl w:val="2"/>
          <w:numId w:val="27"/>
        </w:numPr>
        <w:overflowPunct/>
        <w:autoSpaceDE/>
        <w:autoSpaceDN/>
        <w:adjustRightInd/>
        <w:spacing w:after="0"/>
        <w:textAlignment w:val="auto"/>
        <w:rPr>
          <w:rFonts w:eastAsia="MS Mincho"/>
          <w:lang w:eastAsia="ja-JP"/>
        </w:rPr>
      </w:pPr>
      <w:r w:rsidRPr="002E512E">
        <w:rPr>
          <w:rFonts w:eastAsia="MS Mincho"/>
          <w:lang w:eastAsia="ja-JP"/>
        </w:rPr>
        <w:t>SS-block within the serving cell can be considered, if SS-block is also used in beam management as well</w:t>
      </w:r>
    </w:p>
    <w:p w14:paraId="614552D0"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FFS: Trigger condition for declaring beam failure</w:t>
      </w:r>
    </w:p>
    <w:p w14:paraId="3B86E9B4" w14:textId="77777777" w:rsidR="006B13A0" w:rsidRPr="008C5199" w:rsidRDefault="006B13A0" w:rsidP="006B13A0">
      <w:pPr>
        <w:numPr>
          <w:ilvl w:val="0"/>
          <w:numId w:val="27"/>
        </w:numPr>
        <w:overflowPunct/>
        <w:autoSpaceDE/>
        <w:autoSpaceDN/>
        <w:adjustRightInd/>
        <w:spacing w:after="0"/>
        <w:textAlignment w:val="auto"/>
        <w:rPr>
          <w:rFonts w:eastAsia="MS Mincho"/>
          <w:lang w:eastAsia="ja-JP"/>
        </w:rPr>
      </w:pPr>
      <w:r w:rsidRPr="008C5199">
        <w:rPr>
          <w:rFonts w:eastAsia="MS Mincho"/>
          <w:lang w:eastAsia="ja-JP"/>
        </w:rPr>
        <w:t>New candidate beam identification</w:t>
      </w:r>
    </w:p>
    <w:p w14:paraId="41C066B2"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UE monitors beam identification RS to find a new candidate beam</w:t>
      </w:r>
    </w:p>
    <w:p w14:paraId="0D309F5F"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Beam identification RS includes</w:t>
      </w:r>
    </w:p>
    <w:p w14:paraId="1D5EB7C9" w14:textId="77777777" w:rsidR="006B13A0"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Periodic CSI-RS for beam management, if it is configured by NW</w:t>
      </w:r>
    </w:p>
    <w:p w14:paraId="55BD5D4E" w14:textId="77777777" w:rsidR="006B13A0" w:rsidRPr="002E512E" w:rsidRDefault="006B13A0" w:rsidP="006B13A0">
      <w:pPr>
        <w:numPr>
          <w:ilvl w:val="2"/>
          <w:numId w:val="27"/>
        </w:numPr>
        <w:overflowPunct/>
        <w:autoSpaceDE/>
        <w:autoSpaceDN/>
        <w:adjustRightInd/>
        <w:spacing w:after="0"/>
        <w:textAlignment w:val="auto"/>
        <w:rPr>
          <w:rFonts w:eastAsia="MS Mincho"/>
          <w:lang w:eastAsia="ja-JP"/>
        </w:rPr>
      </w:pPr>
      <w:r w:rsidRPr="002E512E">
        <w:rPr>
          <w:rFonts w:eastAsia="MS Mincho"/>
          <w:lang w:eastAsia="ja-JP"/>
        </w:rPr>
        <w:t>Periodic CSI-RS and SS-blocks within the serving cell</w:t>
      </w:r>
      <w:r>
        <w:rPr>
          <w:rFonts w:eastAsia="MS Mincho" w:hint="eastAsia"/>
          <w:lang w:eastAsia="ja-JP"/>
        </w:rPr>
        <w:t xml:space="preserve">, </w:t>
      </w:r>
      <w:r w:rsidRPr="002E512E">
        <w:rPr>
          <w:rFonts w:eastAsia="MS Mincho"/>
          <w:lang w:eastAsia="ja-JP"/>
        </w:rPr>
        <w:t>if SS-block is also used in beam management as well</w:t>
      </w:r>
    </w:p>
    <w:p w14:paraId="5CB15785" w14:textId="77777777" w:rsidR="006B13A0" w:rsidRPr="008C5199" w:rsidRDefault="006B13A0" w:rsidP="006B13A0">
      <w:pPr>
        <w:numPr>
          <w:ilvl w:val="0"/>
          <w:numId w:val="27"/>
        </w:numPr>
        <w:overflowPunct/>
        <w:autoSpaceDE/>
        <w:autoSpaceDN/>
        <w:adjustRightInd/>
        <w:spacing w:after="0"/>
        <w:textAlignment w:val="auto"/>
        <w:rPr>
          <w:rFonts w:eastAsia="MS Mincho"/>
          <w:lang w:eastAsia="ja-JP"/>
        </w:rPr>
      </w:pPr>
      <w:r w:rsidRPr="008C5199">
        <w:rPr>
          <w:rFonts w:eastAsia="MS Mincho"/>
          <w:lang w:eastAsia="ja-JP"/>
        </w:rPr>
        <w:t>Beam failure recovery request transmission</w:t>
      </w:r>
    </w:p>
    <w:p w14:paraId="1A776F85"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Information carried by beam failure recovery request</w:t>
      </w:r>
      <w:r>
        <w:rPr>
          <w:rFonts w:eastAsia="MS Mincho" w:hint="eastAsia"/>
          <w:lang w:eastAsia="ja-JP"/>
        </w:rPr>
        <w:t xml:space="preserve"> includes at least one followings</w:t>
      </w:r>
    </w:p>
    <w:p w14:paraId="72FE11DD" w14:textId="77777777" w:rsidR="006B13A0" w:rsidRPr="008C5199"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Explicit/implicit information about identifying UE and new gNB TX beam information</w:t>
      </w:r>
    </w:p>
    <w:p w14:paraId="18002F3E" w14:textId="77777777" w:rsidR="006B13A0" w:rsidRDefault="006B13A0" w:rsidP="006B13A0">
      <w:pPr>
        <w:numPr>
          <w:ilvl w:val="2"/>
          <w:numId w:val="27"/>
        </w:numPr>
        <w:overflowPunct/>
        <w:autoSpaceDE/>
        <w:autoSpaceDN/>
        <w:adjustRightInd/>
        <w:spacing w:after="0"/>
        <w:textAlignment w:val="auto"/>
        <w:rPr>
          <w:rFonts w:eastAsia="MS Mincho"/>
          <w:lang w:eastAsia="ja-JP"/>
        </w:rPr>
      </w:pPr>
      <w:r>
        <w:rPr>
          <w:rFonts w:eastAsia="MS Mincho" w:hint="eastAsia"/>
          <w:lang w:eastAsia="ja-JP"/>
        </w:rPr>
        <w:t xml:space="preserve">Explicit/implicit information about </w:t>
      </w:r>
      <w:r w:rsidRPr="008C5199">
        <w:rPr>
          <w:rFonts w:eastAsia="MS Mincho"/>
          <w:lang w:eastAsia="ja-JP"/>
        </w:rPr>
        <w:t>identifying UE and</w:t>
      </w:r>
      <w:r>
        <w:rPr>
          <w:rFonts w:eastAsia="MS Mincho" w:hint="eastAsia"/>
          <w:lang w:eastAsia="ja-JP"/>
        </w:rPr>
        <w:t xml:space="preserve"> whether or not new candidate beam exists</w:t>
      </w:r>
    </w:p>
    <w:p w14:paraId="5A211CFD" w14:textId="77777777" w:rsidR="006B13A0" w:rsidRPr="008C5199"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 xml:space="preserve">FFS: </w:t>
      </w:r>
    </w:p>
    <w:p w14:paraId="4361E9FB" w14:textId="77777777" w:rsidR="006B13A0" w:rsidRPr="008C5199" w:rsidRDefault="006B13A0" w:rsidP="006B13A0">
      <w:pPr>
        <w:numPr>
          <w:ilvl w:val="3"/>
          <w:numId w:val="27"/>
        </w:numPr>
        <w:overflowPunct/>
        <w:autoSpaceDE/>
        <w:autoSpaceDN/>
        <w:adjustRightInd/>
        <w:spacing w:after="0"/>
        <w:textAlignment w:val="auto"/>
        <w:rPr>
          <w:rFonts w:eastAsia="MS Mincho"/>
          <w:lang w:eastAsia="ja-JP"/>
        </w:rPr>
      </w:pPr>
      <w:r w:rsidRPr="008C5199">
        <w:rPr>
          <w:rFonts w:eastAsia="MS Mincho"/>
          <w:lang w:eastAsia="ja-JP"/>
        </w:rPr>
        <w:t>Information indicating UE beam failure</w:t>
      </w:r>
    </w:p>
    <w:p w14:paraId="1E5A1462" w14:textId="77777777" w:rsidR="006B13A0" w:rsidRPr="008C5199" w:rsidRDefault="006B13A0" w:rsidP="006B13A0">
      <w:pPr>
        <w:numPr>
          <w:ilvl w:val="3"/>
          <w:numId w:val="27"/>
        </w:numPr>
        <w:overflowPunct/>
        <w:autoSpaceDE/>
        <w:autoSpaceDN/>
        <w:adjustRightInd/>
        <w:spacing w:after="0"/>
        <w:textAlignment w:val="auto"/>
        <w:rPr>
          <w:rFonts w:eastAsia="MS Mincho"/>
          <w:lang w:eastAsia="ja-JP"/>
        </w:rPr>
      </w:pPr>
      <w:r w:rsidRPr="008C5199">
        <w:rPr>
          <w:rFonts w:eastAsia="MS Mincho"/>
          <w:lang w:eastAsia="ja-JP"/>
        </w:rPr>
        <w:t>Additional information, e.g., new beam quality</w:t>
      </w:r>
    </w:p>
    <w:p w14:paraId="00CCB10C"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Down-selection between the following options for beam failure recovery request transmission</w:t>
      </w:r>
    </w:p>
    <w:p w14:paraId="47B0CABD" w14:textId="77777777" w:rsidR="006B13A0" w:rsidRPr="008C5199"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PRACH</w:t>
      </w:r>
    </w:p>
    <w:p w14:paraId="645E8309" w14:textId="77777777" w:rsidR="006B13A0" w:rsidRPr="008C5199"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PUCCH</w:t>
      </w:r>
    </w:p>
    <w:p w14:paraId="18D5D56D" w14:textId="3A93E72F" w:rsidR="006B13A0" w:rsidRPr="008C5199" w:rsidRDefault="006B13A0" w:rsidP="006B13A0">
      <w:pPr>
        <w:numPr>
          <w:ilvl w:val="2"/>
          <w:numId w:val="27"/>
        </w:numPr>
        <w:overflowPunct/>
        <w:autoSpaceDE/>
        <w:autoSpaceDN/>
        <w:adjustRightInd/>
        <w:spacing w:after="0"/>
        <w:textAlignment w:val="auto"/>
        <w:rPr>
          <w:rFonts w:eastAsia="MS Mincho"/>
          <w:lang w:eastAsia="ja-JP"/>
        </w:rPr>
      </w:pPr>
      <w:r w:rsidRPr="008C5199">
        <w:rPr>
          <w:rFonts w:eastAsia="MS Mincho"/>
          <w:lang w:eastAsia="ja-JP"/>
        </w:rPr>
        <w:t>PRACH-like (e.g.,</w:t>
      </w:r>
      <w:r w:rsidR="008D098B">
        <w:rPr>
          <w:rFonts w:eastAsia="MS Mincho"/>
          <w:lang w:eastAsia="ja-JP"/>
        </w:rPr>
        <w:t xml:space="preserve"> </w:t>
      </w:r>
      <w:r w:rsidRPr="008C5199">
        <w:rPr>
          <w:rFonts w:eastAsia="MS Mincho"/>
          <w:lang w:eastAsia="ja-JP"/>
        </w:rPr>
        <w:t>different parameter for preamble sequence from PRACH)</w:t>
      </w:r>
    </w:p>
    <w:p w14:paraId="5E697250"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Beam failure recovery request resource/signal may be additionally used for scheduling request</w:t>
      </w:r>
    </w:p>
    <w:p w14:paraId="0E535E5A" w14:textId="77777777" w:rsidR="006B13A0" w:rsidRPr="008C5199" w:rsidRDefault="006B13A0" w:rsidP="006B13A0">
      <w:pPr>
        <w:numPr>
          <w:ilvl w:val="0"/>
          <w:numId w:val="27"/>
        </w:numPr>
        <w:overflowPunct/>
        <w:autoSpaceDE/>
        <w:autoSpaceDN/>
        <w:adjustRightInd/>
        <w:spacing w:after="0"/>
        <w:textAlignment w:val="auto"/>
        <w:rPr>
          <w:rFonts w:eastAsia="MS Mincho"/>
          <w:lang w:eastAsia="ja-JP"/>
        </w:rPr>
      </w:pPr>
      <w:r w:rsidRPr="008C5199">
        <w:rPr>
          <w:rFonts w:eastAsia="MS Mincho"/>
          <w:lang w:eastAsia="ja-JP"/>
        </w:rPr>
        <w:t>UE monitors a control channel search space to receive gNB response for beam failure recovery request</w:t>
      </w:r>
    </w:p>
    <w:p w14:paraId="2F575CC4" w14:textId="77777777" w:rsidR="006B13A0" w:rsidRPr="008C5199"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lastRenderedPageBreak/>
        <w:t>FFS: the control channel search space can be same or different from the current control channel search space associated with serving BPLs</w:t>
      </w:r>
    </w:p>
    <w:p w14:paraId="458E9C47" w14:textId="77777777" w:rsidR="006B13A0" w:rsidRDefault="006B13A0" w:rsidP="006B13A0">
      <w:pPr>
        <w:numPr>
          <w:ilvl w:val="1"/>
          <w:numId w:val="27"/>
        </w:numPr>
        <w:overflowPunct/>
        <w:autoSpaceDE/>
        <w:autoSpaceDN/>
        <w:adjustRightInd/>
        <w:spacing w:after="0"/>
        <w:textAlignment w:val="auto"/>
        <w:rPr>
          <w:rFonts w:eastAsia="MS Mincho"/>
          <w:lang w:eastAsia="ja-JP"/>
        </w:rPr>
      </w:pPr>
      <w:r w:rsidRPr="008C5199">
        <w:rPr>
          <w:rFonts w:eastAsia="MS Mincho"/>
          <w:lang w:eastAsia="ja-JP"/>
        </w:rPr>
        <w:t>FFS: UE further reaction if gNB does not receive beam failure recovery request transmission</w:t>
      </w:r>
    </w:p>
    <w:p w14:paraId="4349EE1A" w14:textId="2989E585" w:rsidR="004377F0" w:rsidRPr="00600295" w:rsidRDefault="004377F0" w:rsidP="00795D96">
      <w:pPr>
        <w:overflowPunct/>
        <w:autoSpaceDE/>
        <w:autoSpaceDN/>
        <w:adjustRightInd/>
        <w:spacing w:after="0"/>
        <w:ind w:left="1440"/>
        <w:textAlignment w:val="auto"/>
        <w:rPr>
          <w:rFonts w:eastAsia="MS Mincho"/>
        </w:rPr>
      </w:pPr>
    </w:p>
    <w:p w14:paraId="7DB82023" w14:textId="77777777" w:rsidR="004377F0" w:rsidRDefault="004377F0" w:rsidP="00D11AD9">
      <w:pPr>
        <w:rPr>
          <w:lang w:val="en-GB"/>
        </w:rPr>
      </w:pPr>
    </w:p>
    <w:p w14:paraId="5DBC3327" w14:textId="758E0B81" w:rsidR="00D11AD9" w:rsidRDefault="000C5F30" w:rsidP="00D11AD9">
      <w:pPr>
        <w:pStyle w:val="Heading1"/>
      </w:pPr>
      <w:r>
        <w:t xml:space="preserve">Beam </w:t>
      </w:r>
      <w:r w:rsidR="006B13A0">
        <w:t>Failure Recovery Mechanism</w:t>
      </w:r>
    </w:p>
    <w:p w14:paraId="33B678B8" w14:textId="4C39ECE3" w:rsidR="006B13A0" w:rsidRDefault="006B13A0" w:rsidP="006B13A0">
      <w:pPr>
        <w:spacing w:line="312" w:lineRule="auto"/>
        <w:rPr>
          <w:rFonts w:ascii="Calibri" w:hAnsi="Calibri" w:cs="Arial"/>
          <w:lang w:val="en-GB"/>
        </w:rPr>
      </w:pPr>
      <w:r>
        <w:rPr>
          <w:rFonts w:ascii="Calibri" w:hAnsi="Calibri" w:cs="Arial"/>
          <w:lang w:val="en-GB"/>
        </w:rPr>
        <w:t xml:space="preserve">Beam recovery is a UE triggered mechanism to recover from beam failure. It includes beam failure detection, where the UE monitors at least CSI-RS used for beam management to assess whether BPL(s) quality is not met to trigger beam failure condition. It also includes beam failure recovery request transmission from UE which identifies UE and gNB beam information. The UE finally monitors the control channel search space to receive gNB response to the beam recovery request to complete the beam recovery procedure. </w:t>
      </w:r>
    </w:p>
    <w:p w14:paraId="713A5AC5" w14:textId="55EB1A75" w:rsidR="000159A3" w:rsidRDefault="006B13A0" w:rsidP="006B13A0">
      <w:pPr>
        <w:spacing w:line="312" w:lineRule="auto"/>
        <w:rPr>
          <w:noProof/>
        </w:rPr>
      </w:pPr>
      <w:r>
        <w:rPr>
          <w:rFonts w:ascii="Calibri" w:hAnsi="Calibri" w:cs="Arial"/>
          <w:lang w:val="en-GB"/>
        </w:rPr>
        <w:t xml:space="preserve">The Beam management and beam recovery procedures run in parallel, and to identify </w:t>
      </w:r>
      <w:r w:rsidR="00624938">
        <w:rPr>
          <w:rFonts w:ascii="Calibri" w:hAnsi="Calibri" w:cs="Arial"/>
          <w:lang w:val="en-GB"/>
        </w:rPr>
        <w:t>n</w:t>
      </w:r>
      <w:r>
        <w:rPr>
          <w:rFonts w:ascii="Calibri" w:hAnsi="Calibri" w:cs="Arial"/>
          <w:lang w:val="en-GB"/>
        </w:rPr>
        <w:t>ew beam pair link</w:t>
      </w:r>
      <w:r w:rsidR="00624938">
        <w:rPr>
          <w:rFonts w:ascii="Calibri" w:hAnsi="Calibri" w:cs="Arial"/>
          <w:lang w:val="en-GB"/>
        </w:rPr>
        <w:t>(s)</w:t>
      </w:r>
      <w:r>
        <w:rPr>
          <w:rFonts w:ascii="Calibri" w:hAnsi="Calibri" w:cs="Arial"/>
          <w:lang w:val="en-GB"/>
        </w:rPr>
        <w:t>, after beam failure detection, the UE makes use of the beam measurement and reporting mechanism in the beam management procedure as illustrated in Figure 1 in the dashed line between beam failure recovery and beam management.</w:t>
      </w:r>
      <w:r w:rsidR="000159A3" w:rsidRPr="000159A3">
        <w:rPr>
          <w:noProof/>
        </w:rPr>
        <w:t xml:space="preserve"> </w:t>
      </w:r>
    </w:p>
    <w:p w14:paraId="664AA42D" w14:textId="77777777" w:rsidR="000159A3" w:rsidRDefault="000159A3" w:rsidP="006B13A0">
      <w:pPr>
        <w:spacing w:line="312" w:lineRule="auto"/>
        <w:rPr>
          <w:noProof/>
        </w:rPr>
      </w:pPr>
    </w:p>
    <w:p w14:paraId="05E06BE8" w14:textId="77777777" w:rsidR="000159A3" w:rsidRDefault="000159A3" w:rsidP="00624938">
      <w:pPr>
        <w:keepNext/>
        <w:spacing w:line="312" w:lineRule="auto"/>
        <w:ind w:left="720"/>
      </w:pPr>
      <w:r w:rsidRPr="00BC48D2">
        <w:rPr>
          <w:noProof/>
        </w:rPr>
        <mc:AlternateContent>
          <mc:Choice Requires="wpg">
            <w:drawing>
              <wp:inline distT="0" distB="0" distL="0" distR="0" wp14:anchorId="074C5804" wp14:editId="64EC7B9C">
                <wp:extent cx="5724525" cy="3259370"/>
                <wp:effectExtent l="0" t="0" r="28575" b="17780"/>
                <wp:docPr id="3" name="Group 2"/>
                <wp:cNvGraphicFramePr/>
                <a:graphic xmlns:a="http://schemas.openxmlformats.org/drawingml/2006/main">
                  <a:graphicData uri="http://schemas.microsoft.com/office/word/2010/wordprocessingGroup">
                    <wpg:wgp>
                      <wpg:cNvGrpSpPr/>
                      <wpg:grpSpPr>
                        <a:xfrm>
                          <a:off x="0" y="0"/>
                          <a:ext cx="5724525" cy="3259370"/>
                          <a:chOff x="0" y="0"/>
                          <a:chExt cx="8065270" cy="4591843"/>
                        </a:xfrm>
                      </wpg:grpSpPr>
                      <wps:wsp>
                        <wps:cNvPr id="2" name="Oval 2"/>
                        <wps:cNvSpPr/>
                        <wps:spPr>
                          <a:xfrm>
                            <a:off x="2461963" y="2067339"/>
                            <a:ext cx="2204434" cy="992165"/>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681D0868"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Measurement and Reporting</w:t>
                              </w:r>
                            </w:p>
                            <w:p w14:paraId="3CD8754B"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(Establish BPL)</w:t>
                              </w:r>
                            </w:p>
                          </w:txbxContent>
                        </wps:txbx>
                        <wps:bodyPr rtlCol="0" anchor="ctr"/>
                      </wps:wsp>
                      <wps:wsp>
                        <wps:cNvPr id="4" name="Oval 4"/>
                        <wps:cNvSpPr/>
                        <wps:spPr>
                          <a:xfrm>
                            <a:off x="2364121" y="3568071"/>
                            <a:ext cx="2402605" cy="922713"/>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57188D38"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Beam Selection/Reselection</w:t>
                              </w:r>
                            </w:p>
                            <w:p w14:paraId="63EE886A"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(Reselecting BPLs)</w:t>
                              </w:r>
                            </w:p>
                          </w:txbxContent>
                        </wps:txbx>
                        <wps:bodyPr rtlCol="0" anchor="ctr"/>
                      </wps:wsp>
                      <wps:wsp>
                        <wps:cNvPr id="5" name="Oval 5"/>
                        <wps:cNvSpPr/>
                        <wps:spPr>
                          <a:xfrm>
                            <a:off x="502302" y="596846"/>
                            <a:ext cx="1463258" cy="1046597"/>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50F43A00"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Beam Failure Detection</w:t>
                              </w:r>
                            </w:p>
                          </w:txbxContent>
                        </wps:txbx>
                        <wps:bodyPr rtlCol="0" anchor="ctr"/>
                      </wps:wsp>
                      <wps:wsp>
                        <wps:cNvPr id="6" name="Oval 6"/>
                        <wps:cNvSpPr/>
                        <wps:spPr>
                          <a:xfrm>
                            <a:off x="2461967" y="576679"/>
                            <a:ext cx="1558212" cy="1086931"/>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4461F6A1"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Beam Recovery Request Transmission</w:t>
                              </w:r>
                            </w:p>
                          </w:txbxContent>
                        </wps:txbx>
                        <wps:bodyPr rtlCol="0" anchor="ctr"/>
                      </wps:wsp>
                      <wps:wsp>
                        <wps:cNvPr id="7" name="Oval 7"/>
                        <wps:cNvSpPr/>
                        <wps:spPr>
                          <a:xfrm>
                            <a:off x="4542693" y="618421"/>
                            <a:ext cx="1436040" cy="1045189"/>
                          </a:xfrm>
                          <a:prstGeom prst="ellipse">
                            <a:avLst/>
                          </a:prstGeom>
                          <a:solidFill>
                            <a:sysClr val="window" lastClr="FFFFFF"/>
                          </a:solidFill>
                          <a:ln w="12700" cap="flat" cmpd="sng" algn="ctr">
                            <a:solidFill>
                              <a:sysClr val="windowText" lastClr="000000"/>
                            </a:solidFill>
                            <a:prstDash val="solid"/>
                            <a:miter lim="800000"/>
                          </a:ln>
                          <a:effectLst/>
                        </wps:spPr>
                        <wps:txbx>
                          <w:txbxContent>
                            <w:p w14:paraId="7D3F5627"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gNB Response</w:t>
                              </w:r>
                            </w:p>
                          </w:txbxContent>
                        </wps:txbx>
                        <wps:bodyPr rtlCol="0" anchor="ctr"/>
                      </wps:wsp>
                      <wps:wsp>
                        <wps:cNvPr id="8" name="Straight Arrow Connector 8"/>
                        <wps:cNvCnPr>
                          <a:stCxn id="5" idx="6"/>
                          <a:endCxn id="6" idx="2"/>
                        </wps:cNvCnPr>
                        <wps:spPr>
                          <a:xfrm>
                            <a:off x="1965560" y="1120145"/>
                            <a:ext cx="496407" cy="0"/>
                          </a:xfrm>
                          <a:prstGeom prst="straightConnector1">
                            <a:avLst/>
                          </a:prstGeom>
                          <a:noFill/>
                          <a:ln w="6350" cap="flat" cmpd="sng" algn="ctr">
                            <a:solidFill>
                              <a:sysClr val="windowText" lastClr="000000"/>
                            </a:solidFill>
                            <a:prstDash val="solid"/>
                            <a:miter lim="800000"/>
                            <a:tailEnd type="triangle"/>
                          </a:ln>
                          <a:effectLst/>
                        </wps:spPr>
                        <wps:bodyPr/>
                      </wps:wsp>
                      <wps:wsp>
                        <wps:cNvPr id="9" name="Straight Arrow Connector 9"/>
                        <wps:cNvCnPr>
                          <a:stCxn id="6" idx="6"/>
                        </wps:cNvCnPr>
                        <wps:spPr>
                          <a:xfrm>
                            <a:off x="4020179" y="1120145"/>
                            <a:ext cx="52251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 name="Rectangle 10"/>
                        <wps:cNvSpPr/>
                        <wps:spPr>
                          <a:xfrm>
                            <a:off x="206062" y="0"/>
                            <a:ext cx="5924281" cy="3308391"/>
                          </a:xfrm>
                          <a:prstGeom prst="rect">
                            <a:avLst/>
                          </a:prstGeom>
                          <a:noFill/>
                          <a:ln w="12700" cap="flat" cmpd="sng" algn="ctr">
                            <a:solidFill>
                              <a:sysClr val="windowText" lastClr="000000"/>
                            </a:solidFill>
                            <a:prstDash val="dash"/>
                            <a:miter lim="800000"/>
                          </a:ln>
                          <a:effectLst/>
                        </wps:spPr>
                        <wps:bodyPr rtlCol="0" anchor="ctr"/>
                      </wps:wsp>
                      <wps:wsp>
                        <wps:cNvPr id="11" name="Rectangle 11"/>
                        <wps:cNvSpPr/>
                        <wps:spPr>
                          <a:xfrm>
                            <a:off x="7137984" y="2259105"/>
                            <a:ext cx="927286" cy="1278228"/>
                          </a:xfrm>
                          <a:prstGeom prst="rect">
                            <a:avLst/>
                          </a:prstGeom>
                          <a:noFill/>
                          <a:ln w="12700" cap="flat" cmpd="sng" algn="ctr">
                            <a:solidFill>
                              <a:sysClr val="windowText" lastClr="000000"/>
                            </a:solidFill>
                            <a:prstDash val="solid"/>
                            <a:miter lim="800000"/>
                          </a:ln>
                          <a:effectLst/>
                        </wps:spPr>
                        <wps:txbx>
                          <w:txbxContent>
                            <w:p w14:paraId="01D903F1"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BPL-1</w:t>
                              </w:r>
                            </w:p>
                            <w:p w14:paraId="7D78EC12"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14:paraId="23055F3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BPL-L</w:t>
                              </w:r>
                            </w:p>
                            <w:p w14:paraId="2023528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14:paraId="06227ED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BPL-N</w:t>
                              </w:r>
                            </w:p>
                          </w:txbxContent>
                        </wps:txbx>
                        <wps:bodyPr rtlCol="0" anchor="ctr"/>
                      </wps:wsp>
                      <wps:wsp>
                        <wps:cNvPr id="12" name="Right Arrow 12"/>
                        <wps:cNvSpPr/>
                        <wps:spPr>
                          <a:xfrm>
                            <a:off x="6389777" y="2755307"/>
                            <a:ext cx="649302" cy="241478"/>
                          </a:xfrm>
                          <a:prstGeom prst="rightArrow">
                            <a:avLst/>
                          </a:prstGeom>
                          <a:solidFill>
                            <a:sysClr val="window" lastClr="FFFFFF"/>
                          </a:solidFill>
                          <a:ln w="12700" cap="flat" cmpd="sng" algn="ctr">
                            <a:solidFill>
                              <a:sysClr val="windowText" lastClr="000000"/>
                            </a:solidFill>
                            <a:prstDash val="solid"/>
                            <a:miter lim="800000"/>
                          </a:ln>
                          <a:effectLst/>
                        </wps:spPr>
                        <wps:bodyPr rtlCol="0" anchor="ctr"/>
                      </wps:wsp>
                      <wps:wsp>
                        <wps:cNvPr id="13" name="Straight Arrow Connector 13"/>
                        <wps:cNvCnPr/>
                        <wps:spPr>
                          <a:xfrm>
                            <a:off x="3488916" y="3059504"/>
                            <a:ext cx="1243" cy="508567"/>
                          </a:xfrm>
                          <a:prstGeom prst="straightConnector1">
                            <a:avLst/>
                          </a:prstGeom>
                          <a:noFill/>
                          <a:ln w="19050" cap="flat" cmpd="sng" algn="ctr">
                            <a:solidFill>
                              <a:sysClr val="windowText" lastClr="000000"/>
                            </a:solidFill>
                            <a:prstDash val="solid"/>
                            <a:miter lim="800000"/>
                            <a:tailEnd type="triangle"/>
                          </a:ln>
                          <a:effectLst/>
                        </wps:spPr>
                        <wps:bodyPr/>
                      </wps:wsp>
                      <wps:wsp>
                        <wps:cNvPr id="14" name="Straight Arrow Connector 14"/>
                        <wps:cNvCnPr/>
                        <wps:spPr>
                          <a:xfrm>
                            <a:off x="3727848" y="3059504"/>
                            <a:ext cx="0" cy="477829"/>
                          </a:xfrm>
                          <a:prstGeom prst="straightConnector1">
                            <a:avLst/>
                          </a:prstGeom>
                          <a:noFill/>
                          <a:ln w="19050" cap="flat" cmpd="sng" algn="ctr">
                            <a:solidFill>
                              <a:sysClr val="windowText" lastClr="000000"/>
                            </a:solidFill>
                            <a:prstDash val="solid"/>
                            <a:miter lim="800000"/>
                            <a:headEnd type="triangle" w="med" len="med"/>
                            <a:tailEnd type="none" w="med" len="med"/>
                          </a:ln>
                          <a:effectLst/>
                        </wps:spPr>
                        <wps:bodyPr/>
                      </wps:wsp>
                      <wps:wsp>
                        <wps:cNvPr id="15" name="Rectangle 15"/>
                        <wps:cNvSpPr/>
                        <wps:spPr>
                          <a:xfrm>
                            <a:off x="0" y="1917346"/>
                            <a:ext cx="6302099" cy="2674497"/>
                          </a:xfrm>
                          <a:prstGeom prst="rect">
                            <a:avLst/>
                          </a:prstGeom>
                          <a:noFill/>
                          <a:ln w="12700" cap="flat" cmpd="sng" algn="ctr">
                            <a:solidFill>
                              <a:sysClr val="windowText" lastClr="000000"/>
                            </a:solidFill>
                            <a:prstDash val="solid"/>
                            <a:miter lim="800000"/>
                          </a:ln>
                          <a:effectLst/>
                        </wps:spPr>
                        <wps:bodyPr rtlCol="0" anchor="ctr"/>
                      </wps:wsp>
                      <wps:wsp>
                        <wps:cNvPr id="16" name="Rectangle 16"/>
                        <wps:cNvSpPr/>
                        <wps:spPr>
                          <a:xfrm>
                            <a:off x="206037" y="3"/>
                            <a:ext cx="2089517" cy="363767"/>
                          </a:xfrm>
                          <a:prstGeom prst="rect">
                            <a:avLst/>
                          </a:prstGeom>
                          <a:gradFill rotWithShape="1">
                            <a:gsLst>
                              <a:gs pos="0">
                                <a:sysClr val="windowText" lastClr="000000">
                                  <a:lumMod val="110000"/>
                                  <a:satMod val="105000"/>
                                  <a:tint val="67000"/>
                                </a:sysClr>
                              </a:gs>
                              <a:gs pos="50000">
                                <a:sysClr val="windowText" lastClr="000000">
                                  <a:lumMod val="105000"/>
                                  <a:satMod val="103000"/>
                                  <a:tint val="73000"/>
                                </a:sysClr>
                              </a:gs>
                              <a:gs pos="100000">
                                <a:sysClr val="windowText" lastClr="000000">
                                  <a:lumMod val="105000"/>
                                  <a:satMod val="109000"/>
                                  <a:tint val="81000"/>
                                </a:sysClr>
                              </a:gs>
                            </a:gsLst>
                            <a:lin ang="5400000" scaled="0"/>
                          </a:gradFill>
                          <a:ln w="6350" cap="flat" cmpd="sng" algn="ctr">
                            <a:solidFill>
                              <a:sysClr val="windowText" lastClr="000000"/>
                            </a:solidFill>
                            <a:prstDash val="solid"/>
                            <a:miter lim="800000"/>
                          </a:ln>
                          <a:effectLst/>
                        </wps:spPr>
                        <wps:txbx>
                          <w:txbxContent>
                            <w:p w14:paraId="746961A9" w14:textId="77777777" w:rsidR="000159A3" w:rsidRPr="00BC48D2" w:rsidRDefault="000159A3" w:rsidP="000159A3">
                              <w:pPr>
                                <w:pStyle w:val="NormalWeb"/>
                                <w:spacing w:before="0" w:beforeAutospacing="0" w:after="0" w:afterAutospacing="0"/>
                                <w:jc w:val="center"/>
                                <w:rPr>
                                  <w:sz w:val="20"/>
                                </w:rPr>
                              </w:pPr>
                              <w:r w:rsidRPr="00624938">
                                <w:rPr>
                                  <w:rFonts w:asciiTheme="minorHAnsi" w:hAnsi="Calibri" w:cstheme="minorBidi"/>
                                  <w:color w:val="000000" w:themeColor="dark1"/>
                                  <w:kern w:val="24"/>
                                  <w:sz w:val="20"/>
                                  <w:szCs w:val="20"/>
                                </w:rPr>
                                <w:t>Beam</w:t>
                              </w:r>
                              <w:r w:rsidRPr="00BC48D2">
                                <w:rPr>
                                  <w:rFonts w:asciiTheme="minorHAnsi" w:hAnsi="Calibri" w:cstheme="minorBidi"/>
                                  <w:color w:val="000000" w:themeColor="dark1"/>
                                  <w:kern w:val="24"/>
                                  <w:sz w:val="22"/>
                                  <w:szCs w:val="28"/>
                                </w:rPr>
                                <w:t xml:space="preserve"> Failure Recovery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0" y="4183663"/>
                            <a:ext cx="1931778" cy="408180"/>
                          </a:xfrm>
                          <a:prstGeom prst="rect">
                            <a:avLst/>
                          </a:prstGeom>
                          <a:gradFill rotWithShape="1">
                            <a:gsLst>
                              <a:gs pos="0">
                                <a:sysClr val="windowText" lastClr="000000">
                                  <a:lumMod val="110000"/>
                                  <a:satMod val="105000"/>
                                  <a:tint val="67000"/>
                                </a:sysClr>
                              </a:gs>
                              <a:gs pos="50000">
                                <a:sysClr val="windowText" lastClr="000000">
                                  <a:lumMod val="105000"/>
                                  <a:satMod val="103000"/>
                                  <a:tint val="73000"/>
                                </a:sysClr>
                              </a:gs>
                              <a:gs pos="100000">
                                <a:sysClr val="windowText" lastClr="000000">
                                  <a:lumMod val="105000"/>
                                  <a:satMod val="109000"/>
                                  <a:tint val="81000"/>
                                </a:sysClr>
                              </a:gs>
                            </a:gsLst>
                            <a:lin ang="5400000" scaled="0"/>
                          </a:gradFill>
                          <a:ln w="6350" cap="flat" cmpd="sng" algn="ctr">
                            <a:solidFill>
                              <a:sysClr val="windowText" lastClr="000000"/>
                            </a:solidFill>
                            <a:prstDash val="solid"/>
                            <a:miter lim="800000"/>
                          </a:ln>
                          <a:effectLst/>
                        </wps:spPr>
                        <wps:txbx>
                          <w:txbxContent>
                            <w:p w14:paraId="09D482E3"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22"/>
                                  <w:szCs w:val="28"/>
                                </w:rPr>
                                <w:t>Beam Management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74C5804" id="Group 2" o:spid="_x0000_s1026" style="width:450.75pt;height:256.65pt;mso-position-horizontal-relative:char;mso-position-vertical-relative:line" coordsize="80652,45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">
                <v:oval id="Oval 2" o:spid="_x0000_s1027" style="position:absolute;left:24619;top:20673;width:22044;height:99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x78AA&#10;AADaAAAADwAAAGRycy9kb3ducmV2LnhtbESPQYvCMBSE7wv+h/AEb2tqhUWqUURQPGoV0dujeTbF&#10;5qU0sdZ/bxYW9jjMzDfMYtXbWnTU+sqxgsk4AUFcOF1xqeB82n7PQPiArLF2TAre5GG1HHwtMNPu&#10;xUfq8lCKCGGfoQITQpNJ6QtDFv3YNcTRu7vWYoiyLaVu8RXhtpZpkvxIixXHBYMNbQwVj/xpFazf&#10;4dDxtM53x/t1e0nP/e3WGKVGw349BxGoD//hv/ZeK0jh90q8AX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zx78AAAADaAAAADwAAAAAAAAAAAAAAAACYAgAAZHJzL2Rvd25y&#10;ZXYueG1sUEsFBgAAAAAEAAQA9QAAAIUDAAAAAA==&#10;" fillcolor="window" strokecolor="windowText" strokeweight="1pt">
                  <v:stroke joinstyle="miter"/>
                  <v:textbox>
                    <w:txbxContent>
                      <w:p w14:paraId="681D0868"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Measurement and Reporting</w:t>
                        </w:r>
                      </w:p>
                      <w:p w14:paraId="3CD8754B"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(Establish BPL)</w:t>
                        </w:r>
                      </w:p>
                    </w:txbxContent>
                  </v:textbox>
                </v:oval>
                <v:oval id="Oval 4" o:spid="_x0000_s1028" style="position:absolute;left:23641;top:35680;width:24026;height:9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nMAMMA&#10;AADaAAAADwAAAGRycy9kb3ducmV2LnhtbESPwWrDMBBE74X+g9hCb7WcNJTgRgmhkJBj7ZpQ3xZr&#10;Y5lYK2Opjv33VaDQ4zAzb5jNbrKdGGnwrWMFiyQFQVw73XKjoPw6vKxB+ICssXNMCmbysNs+Pmww&#10;0+7GOY1FaESEsM9QgQmhz6T0tSGLPnE9cfQubrAYohwaqQe8Rbjt5DJN36TFluOCwZ4+DNXX4scq&#10;2M/hc+TXrjjml+/DeVlOVdUbpZ6fpv07iEBT+A//tU9awQr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nMAMMAAADaAAAADwAAAAAAAAAAAAAAAACYAgAAZHJzL2Rv&#10;d25yZXYueG1sUEsFBgAAAAAEAAQA9QAAAIgDAAAAAA==&#10;" fillcolor="window" strokecolor="windowText" strokeweight="1pt">
                  <v:stroke joinstyle="miter"/>
                  <v:textbox>
                    <w:txbxContent>
                      <w:p w14:paraId="57188D38"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Beam Selection/Reselection</w:t>
                        </w:r>
                      </w:p>
                      <w:p w14:paraId="63EE886A"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16"/>
                            <w:szCs w:val="20"/>
                          </w:rPr>
                          <w:t>(Reselecting BPLs)</w:t>
                        </w:r>
                      </w:p>
                    </w:txbxContent>
                  </v:textbox>
                </v:oval>
                <v:oval id="Oval 5" o:spid="_x0000_s1029" style="position:absolute;left:5023;top:5968;width:14632;height:104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Vpm8MA&#10;AADaAAAADwAAAGRycy9kb3ducmV2LnhtbESPwWrDMBBE74X+g9hCb7WclJTgRgmhkJBj7ZpQ3xZr&#10;Y5lYK2Opjv33VaDQ4zAzb5jNbrKdGGnwrWMFiyQFQVw73XKjoPw6vKxB+ICssXNMCmbysNs+Pmww&#10;0+7GOY1FaESEsM9QgQmhz6T0tSGLPnE9cfQubrAYohwaqQe8Rbjt5DJN36TFluOCwZ4+DNXX4scq&#10;2M/hc+TXrjjml+/DeVlOVdUbpZ6fpv07iEBT+A//tU9awQr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Vpm8MAAADaAAAADwAAAAAAAAAAAAAAAACYAgAAZHJzL2Rv&#10;d25yZXYueG1sUEsFBgAAAAAEAAQA9QAAAIgDAAAAAA==&#10;" fillcolor="window" strokecolor="windowText" strokeweight="1pt">
                  <v:stroke joinstyle="miter"/>
                  <v:textbox>
                    <w:txbxContent>
                      <w:p w14:paraId="50F43A00"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Beam Failure Detection</w:t>
                        </w:r>
                      </w:p>
                    </w:txbxContent>
                  </v:textbox>
                </v:oval>
                <v:oval id="Oval 6" o:spid="_x0000_s1030" style="position:absolute;left:24619;top:5766;width:15582;height:108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f37MEA&#10;AADaAAAADwAAAGRycy9kb3ducmV2LnhtbESPQYvCMBSE78L+h/AWvGmqgkjXtIjg4lGriN4ezbMp&#10;27yUJlvrv98sCB6HmfmGWeeDbURPna8dK5hNExDEpdM1VwrOp91kBcIHZI2NY1LwJA959jFaY6rd&#10;g4/UF6ESEcI+RQUmhDaV0peGLPqpa4mjd3edxRBlV0nd4SPCbSPnSbKUFmuOCwZb2hoqf4pfq2Dz&#10;DIeeF03xfbxfd5f5ebjdWqPU+HPYfIEINIR3+NXeawVL+L8Sb4D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H9+zBAAAA2gAAAA8AAAAAAAAAAAAAAAAAmAIAAGRycy9kb3du&#10;cmV2LnhtbFBLBQYAAAAABAAEAPUAAACGAwAAAAA=&#10;" fillcolor="window" strokecolor="windowText" strokeweight="1pt">
                  <v:stroke joinstyle="miter"/>
                  <v:textbox>
                    <w:txbxContent>
                      <w:p w14:paraId="4461F6A1"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Beam Recovery Request Transmission</w:t>
                        </w:r>
                      </w:p>
                    </w:txbxContent>
                  </v:textbox>
                </v:oval>
                <v:oval id="Oval 7" o:spid="_x0000_s1031" style="position:absolute;left:45426;top:6184;width:14361;height:10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tSd8MA&#10;AADaAAAADwAAAGRycy9kb3ducmV2LnhtbESPwWrDMBBE74X+g9hCb7WcFNLgRgmhkJBj7ZpQ3xZr&#10;Y5lYK2Opjv33VaDQ4zAzb5jNbrKdGGnwrWMFiyQFQVw73XKjoPw6vKxB+ICssXNMCmbysNs+Pmww&#10;0+7GOY1FaESEsM9QgQmhz6T0tSGLPnE9cfQubrAYohwaqQe8Rbjt5DJNV9Jiy3HBYE8fhupr8WMV&#10;7OfwOfJrVxzzy/fhvCynquqNUs9P0/4dRKAp/If/2iet4A3uV+IN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tSd8MAAADaAAAADwAAAAAAAAAAAAAAAACYAgAAZHJzL2Rv&#10;d25yZXYueG1sUEsFBgAAAAAEAAQA9QAAAIgDAAAAAA==&#10;" fillcolor="window" strokecolor="windowText" strokeweight="1pt">
                  <v:stroke joinstyle="miter"/>
                  <v:textbox>
                    <w:txbxContent>
                      <w:p w14:paraId="7D3F5627" w14:textId="77777777" w:rsidR="000159A3" w:rsidRPr="00624938" w:rsidRDefault="000159A3" w:rsidP="000159A3">
                        <w:pPr>
                          <w:pStyle w:val="NormalWeb"/>
                          <w:spacing w:before="0" w:beforeAutospacing="0" w:after="0" w:afterAutospacing="0"/>
                          <w:jc w:val="center"/>
                          <w:rPr>
                            <w:sz w:val="18"/>
                            <w:szCs w:val="18"/>
                          </w:rPr>
                        </w:pPr>
                        <w:r w:rsidRPr="00624938">
                          <w:rPr>
                            <w:rFonts w:asciiTheme="minorHAnsi" w:hAnsi="Calibri" w:cstheme="minorBidi"/>
                            <w:color w:val="000000" w:themeColor="dark1"/>
                            <w:kern w:val="24"/>
                            <w:sz w:val="18"/>
                            <w:szCs w:val="18"/>
                          </w:rPr>
                          <w:t>gNB Response</w:t>
                        </w:r>
                      </w:p>
                    </w:txbxContent>
                  </v:textbox>
                </v:oval>
                <v:shapetype id="_x0000_t32" coordsize="21600,21600" o:spt="32" o:oned="t" path="m,l21600,21600e" filled="f">
                  <v:path arrowok="t" fillok="f" o:connecttype="none"/>
                  <o:lock v:ext="edit" shapetype="t"/>
                </v:shapetype>
                <v:shape id="Straight Arrow Connector 8" o:spid="_x0000_s1032" type="#_x0000_t32" style="position:absolute;left:19655;top:11201;width:49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418EAAADaAAAADwAAAGRycy9kb3ducmV2LnhtbERPy2oCMRTdF/yHcAU3RTO1IHU0M0i1&#10;0E2xjoLby+TOAyc3YxJ1+vfNotDl4bzX+WA6cSfnW8sKXmYJCOLS6pZrBafjx/QNhA/IGjvLpOCH&#10;POTZ6GmNqbYPPtC9CLWIIexTVNCE0KdS+rIhg35me+LIVdYZDBG6WmqHjxhuOjlPkoU02HJsaLCn&#10;94bKS3EzCmR9eDXnXTUsviq33H4/7699sVdqMh42KxCBhvAv/nN/agVxa7wSb4DM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zfjXwQAAANoAAAAPAAAAAAAAAAAAAAAA&#10;AKECAABkcnMvZG93bnJldi54bWxQSwUGAAAAAAQABAD5AAAAjwMAAAAA&#10;" strokecolor="windowText" strokeweight=".5pt">
                  <v:stroke endarrow="block" joinstyle="miter"/>
                </v:shape>
                <v:shape id="Straight Arrow Connector 9" o:spid="_x0000_s1033" type="#_x0000_t32" style="position:absolute;left:40201;top:11201;width:52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FdTMQAAADaAAAADwAAAGRycy9kb3ducmV2LnhtbESPW2sCMRSE34X+h3AKfSmabQuiW6OI&#10;F+iLqKvg62Fz9kI3J9sk6vrvjVDwcZiZb5jJrDONuJDztWUFH4MEBHFudc2lguNh3R+B8AFZY2OZ&#10;FNzIw2z60ptgqu2V93TJQikihH2KCqoQ2lRKn1dk0A9sSxy9wjqDIUpXSu3wGuGmkZ9JMpQGa44L&#10;Fba0qCj/zc5GgSz3X+a0KrrhpnDj5e59+9dmW6XeXrv5N4hAXXiG/9s/WsEYHlfiDZDT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gV1MxAAAANoAAAAPAAAAAAAAAAAA&#10;AAAAAKECAABkcnMvZG93bnJldi54bWxQSwUGAAAAAAQABAD5AAAAkgMAAAAA&#10;" strokecolor="windowText" strokeweight=".5pt">
                  <v:stroke endarrow="block" joinstyle="miter"/>
                </v:shape>
                <v:rect id="Rectangle 10" o:spid="_x0000_s1034" style="position:absolute;left:2060;width:59243;height:33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9MYA&#10;AADbAAAADwAAAGRycy9kb3ducmV2LnhtbESPT2vCQBDF74LfYZmCl6KbtiAlukoxLVToofUP4m3I&#10;jkkwOxuya5J++86h4G2G9+a93yzXg6tVR22oPBt4miWgiHNvKy4MHPYf01dQISJbrD2TgV8KsF6N&#10;R0tMre/5h7pdLJSEcEjRQBljk2od8pIchplviEW7+NZhlLUttG2xl3BX6+ckmWuHFUtDiQ1tSsqv&#10;u5sz8Lg9vvT8zVWXvZ/nX82Rt1l2MmbyMLwtQEUa4t38f/1pBV/o5Rc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v9MYAAADbAAAADwAAAAAAAAAAAAAAAACYAgAAZHJz&#10;L2Rvd25yZXYueG1sUEsFBgAAAAAEAAQA9QAAAIsDAAAAAA==&#10;" filled="f" strokecolor="windowText" strokeweight="1pt">
                  <v:stroke dashstyle="dash"/>
                </v:rect>
                <v:rect id="Rectangle 11" o:spid="_x0000_s1035" style="position:absolute;left:71379;top:22591;width:9273;height:1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RLFsAA&#10;AADbAAAADwAAAGRycy9kb3ducmV2LnhtbERPS4vCMBC+C/6HMMLeNHEXRLpGEUFYcC8+KHgbm9m2&#10;mExKE2v33xtB8DYf33MWq95Z0VEbas8aphMFgrjwpuZSw+m4Hc9BhIhs0HomDf8UYLUcDhaYGX/n&#10;PXWHWIoUwiFDDVWMTSZlKCpyGCa+IU7cn28dxgTbUpoW7yncWfmp1Ew6rDk1VNjQpqLierg5DXt1&#10;zHfu90udL+qUh62zl25ttf4Y9etvEJH6+Ba/3D8mzZ/C85d0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1RLFsAAAADbAAAADwAAAAAAAAAAAAAAAACYAgAAZHJzL2Rvd25y&#10;ZXYueG1sUEsFBgAAAAAEAAQA9QAAAIUDAAAAAA==&#10;" filled="f" strokecolor="windowText" strokeweight="1pt">
                  <v:textbox>
                    <w:txbxContent>
                      <w:p w14:paraId="01D903F1"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BPL-1</w:t>
                        </w:r>
                      </w:p>
                      <w:p w14:paraId="7D78EC12"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14:paraId="23055F3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BPL-L</w:t>
                        </w:r>
                      </w:p>
                      <w:p w14:paraId="2023528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w:t>
                        </w:r>
                      </w:p>
                      <w:p w14:paraId="06227EDC" w14:textId="77777777" w:rsidR="000159A3" w:rsidRPr="00BC48D2" w:rsidRDefault="000159A3" w:rsidP="000159A3">
                        <w:pPr>
                          <w:pStyle w:val="NormalWeb"/>
                          <w:spacing w:before="0" w:beforeAutospacing="0" w:after="0" w:afterAutospacing="0"/>
                          <w:jc w:val="center"/>
                          <w:rPr>
                            <w:sz w:val="22"/>
                          </w:rPr>
                        </w:pPr>
                        <w:r w:rsidRPr="00BC48D2">
                          <w:rPr>
                            <w:rFonts w:asciiTheme="minorHAnsi" w:hAnsi="Calibri" w:cstheme="minorBidi"/>
                            <w:color w:val="000000" w:themeColor="dark1"/>
                            <w:kern w:val="24"/>
                            <w:sz w:val="18"/>
                            <w:szCs w:val="20"/>
                          </w:rPr>
                          <w:t>BPL-N</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2" o:spid="_x0000_s1036" type="#_x0000_t13" style="position:absolute;left:63897;top:27553;width:6493;height:24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6S8EA&#10;AADbAAAADwAAAGRycy9kb3ducmV2LnhtbERPTYvCMBC9L/gfwgh7WTRZD8tSjSLiQsHT6qp4G5ux&#10;LTaT2kTb/fdGELzN433OZNbZStyo8aVjDZ9DBYI4c6bkXMPf5mfwDcIHZIOVY9LwTx5m097bBBPj&#10;Wv6l2zrkIoawT1BDEUKdSOmzgiz6oauJI3dyjcUQYZNL02Abw20lR0p9SYslx4YCa1oUlJ3XV6uh&#10;XR12y2P+kW536fJi7Untg1dav/e7+RhEoC68xE93auL8ETx+iQfI6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IekvBAAAA2wAAAA8AAAAAAAAAAAAAAAAAmAIAAGRycy9kb3du&#10;cmV2LnhtbFBLBQYAAAAABAAEAPUAAACGAwAAAAA=&#10;" adj="17583" fillcolor="window" strokecolor="windowText" strokeweight="1pt"/>
                <v:shape id="Straight Arrow Connector 13" o:spid="_x0000_s1037" type="#_x0000_t32" style="position:absolute;left:34889;top:30595;width:12;height:50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pxcsEAAADbAAAADwAAAGRycy9kb3ducmV2LnhtbERP32vCMBB+F/Y/hBvsTVOVza0ziohj&#10;src5wdejubXF5tImsen++0UQfLuP7+ct14NpRE/O15YVTCcZCOLC6ppLBcefj/ErCB+QNTaWScEf&#10;eVivHkZLzLWN/E39IZQihbDPUUEVQptL6YuKDPqJbYkT92udwZCgK6V2GFO4aeQsy16kwZpTQ4Ut&#10;bSsqzoeLUXDCneu6+NYv9p/HZ31axC5+RaWeHofNO4hAQ7iLb+69TvPncP0lHS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2nFywQAAANsAAAAPAAAAAAAAAAAAAAAA&#10;AKECAABkcnMvZG93bnJldi54bWxQSwUGAAAAAAQABAD5AAAAjwMAAAAA&#10;" strokecolor="windowText" strokeweight="1.5pt">
                  <v:stroke endarrow="block" joinstyle="miter"/>
                </v:shape>
                <v:shape id="Straight Arrow Connector 14" o:spid="_x0000_s1038" type="#_x0000_t32" style="position:absolute;left:37278;top:30595;width:0;height:47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inIb8AAADbAAAADwAAAGRycy9kb3ducmV2LnhtbERPzWrCQBC+C32HZQRvuolIKamrmEIl&#10;J6HRBxiz0yRkdzZkt0l8e7dQ6G0+vt/ZH2drxEiDbx0rSDcJCOLK6ZZrBbfr5/oNhA/IGo1jUvAg&#10;D8fDy2KPmXYTf9FYhlrEEPYZKmhC6DMpfdWQRb9xPXHkvt1gMUQ41FIPOMVwa+Q2SV6lxZZjQ4M9&#10;fTRUdeWPVXDPd1zyZfLl9VyYLvemI06VWi3n0zuIQHP4F/+5Cx3n7+D3l3iAPD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PinIb8AAADbAAAADwAAAAAAAAAAAAAAAACh&#10;AgAAZHJzL2Rvd25yZXYueG1sUEsFBgAAAAAEAAQA+QAAAI0DAAAAAA==&#10;" strokecolor="windowText" strokeweight="1.5pt">
                  <v:stroke startarrow="block" joinstyle="miter"/>
                </v:shape>
                <v:rect id="Rectangle 15" o:spid="_x0000_s1039" style="position:absolute;top:19173;width:63020;height:26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9NFcAA&#10;AADbAAAADwAAAGRycy9kb3ducmV2LnhtbERPS4vCMBC+C/sfwgjeNFFRpGsUWRAWdi8+EPY2NmNb&#10;TCalibX7740geJuP7znLdeesaKkJlWcN45ECQZx7U3Gh4XjYDhcgQkQ2aD2Thn8KsF599JaYGX/n&#10;HbX7WIgUwiFDDWWMdSZlyEtyGEa+Jk7cxTcOY4JNIU2D9xTurJwoNZcOK04NJdb0VVJ+3d+chp06&#10;nH7c71T9ndXxFLbOntuN1XrQ7zafICJ18S1+ub9Nmj+D5y/p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9NFcAAAADbAAAADwAAAAAAAAAAAAAAAACYAgAAZHJzL2Rvd25y&#10;ZXYueG1sUEsFBgAAAAAEAAQA9QAAAIUDAAAAAA==&#10;" filled="f" strokecolor="windowText" strokeweight="1pt"/>
                <v:rect id="Rectangle 16" o:spid="_x0000_s1040" style="position:absolute;left:2060;width:20895;height:36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UZMIA&#10;AADbAAAADwAAAGRycy9kb3ducmV2LnhtbESPT2sCMRDF7wW/Qxiht5q1VJHVKCJItxdL/XceknF3&#10;MZksm9Rdv70RCr3N8N7vzZvFqndW3KgNtWcF41EGglh7U3Op4HjYvs1AhIhs0HomBXcKsFoOXhaY&#10;G9/xD932sRQphEOOCqoYm1zKoCtyGEa+IU7axbcOY1rbUpoWuxTurHzPsql0WHO6UGFDm4r0df/r&#10;Ug39Of7++Dp3967QdmJPiLsClXod9us5iEh9/Df/0YVJ3BSev6QB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tRkwgAAANsAAAAPAAAAAAAAAAAAAAAAAJgCAABkcnMvZG93&#10;bnJldi54bWxQSwUGAAAAAAQABAD1AAAAhwMAAAAA&#10;" fillcolor="#9b9b9b" strokecolor="windowText" strokeweight=".5pt">
                  <v:fill color2="#797979" rotate="t" colors="0 #9b9b9b;.5 #8e8e8e;1 #797979" focus="100%" type="gradient">
                    <o:fill v:ext="view" type="gradientUnscaled"/>
                  </v:fill>
                  <v:textbox>
                    <w:txbxContent>
                      <w:p w14:paraId="746961A9" w14:textId="77777777" w:rsidR="000159A3" w:rsidRPr="00BC48D2" w:rsidRDefault="000159A3" w:rsidP="000159A3">
                        <w:pPr>
                          <w:pStyle w:val="NormalWeb"/>
                          <w:spacing w:before="0" w:beforeAutospacing="0" w:after="0" w:afterAutospacing="0"/>
                          <w:jc w:val="center"/>
                          <w:rPr>
                            <w:sz w:val="20"/>
                          </w:rPr>
                        </w:pPr>
                        <w:r w:rsidRPr="00624938">
                          <w:rPr>
                            <w:rFonts w:asciiTheme="minorHAnsi" w:hAnsi="Calibri" w:cstheme="minorBidi"/>
                            <w:color w:val="000000" w:themeColor="dark1"/>
                            <w:kern w:val="24"/>
                            <w:sz w:val="20"/>
                            <w:szCs w:val="20"/>
                          </w:rPr>
                          <w:t>Beam</w:t>
                        </w:r>
                        <w:r w:rsidRPr="00BC48D2">
                          <w:rPr>
                            <w:rFonts w:asciiTheme="minorHAnsi" w:hAnsi="Calibri" w:cstheme="minorBidi"/>
                            <w:color w:val="000000" w:themeColor="dark1"/>
                            <w:kern w:val="24"/>
                            <w:sz w:val="22"/>
                            <w:szCs w:val="28"/>
                          </w:rPr>
                          <w:t xml:space="preserve"> Failure Recovery</w:t>
                        </w:r>
                      </w:p>
                    </w:txbxContent>
                  </v:textbox>
                </v:rect>
                <v:rect id="Rectangle 17" o:spid="_x0000_s1041" style="position:absolute;top:41836;width:19317;height:40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x/8MA&#10;AADbAAAADwAAAGRycy9kb3ducmV2LnhtbESPT2sCMRDF7wW/QxjBW81aapXVKFIoXS8t/j0Pybi7&#10;mEyWTequ394UCr3N8N7vzZvlundW3KgNtWcFk3EGglh7U3Op4Hj4eJ6DCBHZoPVMCu4UYL0aPC0x&#10;N77jHd32sRQphEOOCqoYm1zKoCtyGMa+IU7axbcOY1rbUpoWuxTurHzJsjfpsOZ0ocKG3ivS1/2P&#10;SzX05+T7dXvu7l2h7dSeEL8KVGo07DcLEJH6+G/+owuTuBn8/pIG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PJx/8MAAADbAAAADwAAAAAAAAAAAAAAAACYAgAAZHJzL2Rv&#10;d25yZXYueG1sUEsFBgAAAAAEAAQA9QAAAIgDAAAAAA==&#10;" fillcolor="#9b9b9b" strokecolor="windowText" strokeweight=".5pt">
                  <v:fill color2="#797979" rotate="t" colors="0 #9b9b9b;.5 #8e8e8e;1 #797979" focus="100%" type="gradient">
                    <o:fill v:ext="view" type="gradientUnscaled"/>
                  </v:fill>
                  <v:textbox>
                    <w:txbxContent>
                      <w:p w14:paraId="09D482E3" w14:textId="77777777" w:rsidR="000159A3" w:rsidRPr="00BC48D2" w:rsidRDefault="000159A3" w:rsidP="000159A3">
                        <w:pPr>
                          <w:pStyle w:val="NormalWeb"/>
                          <w:spacing w:before="0" w:beforeAutospacing="0" w:after="0" w:afterAutospacing="0"/>
                          <w:jc w:val="center"/>
                          <w:rPr>
                            <w:sz w:val="20"/>
                          </w:rPr>
                        </w:pPr>
                        <w:r w:rsidRPr="00BC48D2">
                          <w:rPr>
                            <w:rFonts w:asciiTheme="minorHAnsi" w:hAnsi="Calibri" w:cstheme="minorBidi"/>
                            <w:color w:val="000000" w:themeColor="dark1"/>
                            <w:kern w:val="24"/>
                            <w:sz w:val="22"/>
                            <w:szCs w:val="28"/>
                          </w:rPr>
                          <w:t>Beam Management</w:t>
                        </w:r>
                      </w:p>
                    </w:txbxContent>
                  </v:textbox>
                </v:rect>
                <w10:anchorlock/>
              </v:group>
            </w:pict>
          </mc:Fallback>
        </mc:AlternateContent>
      </w:r>
    </w:p>
    <w:p w14:paraId="5E8F348E" w14:textId="12DDF303" w:rsidR="006B13A0" w:rsidRDefault="000159A3" w:rsidP="00624938">
      <w:pPr>
        <w:pStyle w:val="Caption"/>
        <w:ind w:left="2160"/>
        <w:rPr>
          <w:rFonts w:ascii="Calibri" w:hAnsi="Calibri" w:cs="Arial"/>
          <w:lang w:val="en-GB"/>
        </w:rPr>
      </w:pPr>
      <w:r>
        <w:t xml:space="preserve">Figure </w:t>
      </w:r>
      <w:r w:rsidR="000E4677">
        <w:fldChar w:fldCharType="begin"/>
      </w:r>
      <w:r w:rsidR="000E4677">
        <w:instrText xml:space="preserve"> SEQ Figure \* ARABIC </w:instrText>
      </w:r>
      <w:r w:rsidR="000E4677">
        <w:fldChar w:fldCharType="separate"/>
      </w:r>
      <w:r>
        <w:rPr>
          <w:noProof/>
        </w:rPr>
        <w:t>1</w:t>
      </w:r>
      <w:r w:rsidR="000E4677">
        <w:rPr>
          <w:noProof/>
        </w:rPr>
        <w:fldChar w:fldCharType="end"/>
      </w:r>
      <w:r>
        <w:t xml:space="preserve">: Beam recovery and beam management scope </w:t>
      </w:r>
    </w:p>
    <w:p w14:paraId="007BD101" w14:textId="77777777" w:rsidR="000159A3" w:rsidRDefault="000159A3" w:rsidP="006B13A0">
      <w:pPr>
        <w:spacing w:line="312" w:lineRule="auto"/>
        <w:rPr>
          <w:rFonts w:ascii="Calibri" w:hAnsi="Calibri" w:cs="Arial"/>
          <w:lang w:val="en-GB"/>
        </w:rPr>
      </w:pPr>
    </w:p>
    <w:p w14:paraId="323251FB" w14:textId="58894762" w:rsidR="006B13A0" w:rsidRDefault="006B13A0" w:rsidP="006B13A0">
      <w:pPr>
        <w:spacing w:line="312" w:lineRule="auto"/>
        <w:rPr>
          <w:rFonts w:ascii="Calibri" w:hAnsi="Calibri" w:cs="Arial"/>
          <w:lang w:val="en-GB"/>
        </w:rPr>
      </w:pPr>
      <w:r w:rsidRPr="006B13A0">
        <w:rPr>
          <w:rFonts w:ascii="Calibri" w:hAnsi="Calibri" w:cs="Arial"/>
          <w:noProof/>
        </w:rPr>
        <mc:AlternateContent>
          <mc:Choice Requires="wps">
            <w:drawing>
              <wp:anchor distT="0" distB="0" distL="114300" distR="114300" simplePos="0" relativeHeight="251659264" behindDoc="0" locked="0" layoutInCell="1" allowOverlap="1" wp14:anchorId="77A40CF0" wp14:editId="6B915C01">
                <wp:simplePos x="0" y="0"/>
                <wp:positionH relativeFrom="margin">
                  <wp:posOffset>0</wp:posOffset>
                </wp:positionH>
                <wp:positionV relativeFrom="paragraph">
                  <wp:posOffset>3348990</wp:posOffset>
                </wp:positionV>
                <wp:extent cx="6296025" cy="180975"/>
                <wp:effectExtent l="0" t="0" r="9525" b="9525"/>
                <wp:wrapNone/>
                <wp:docPr id="21" name="Text Box 21"/>
                <wp:cNvGraphicFramePr/>
                <a:graphic xmlns:a="http://schemas.openxmlformats.org/drawingml/2006/main">
                  <a:graphicData uri="http://schemas.microsoft.com/office/word/2010/wordprocessingShape">
                    <wps:wsp>
                      <wps:cNvSpPr txBox="1"/>
                      <wps:spPr>
                        <a:xfrm>
                          <a:off x="0" y="0"/>
                          <a:ext cx="6296025" cy="180975"/>
                        </a:xfrm>
                        <a:prstGeom prst="rect">
                          <a:avLst/>
                        </a:prstGeom>
                        <a:solidFill>
                          <a:prstClr val="white"/>
                        </a:solidFill>
                        <a:ln>
                          <a:noFill/>
                        </a:ln>
                        <a:effectLst/>
                      </wps:spPr>
                      <wps:txbx>
                        <w:txbxContent>
                          <w:p w14:paraId="334C9CA5" w14:textId="77777777" w:rsidR="006B13A0" w:rsidRPr="006B13A0" w:rsidRDefault="006B13A0" w:rsidP="006B13A0">
                            <w:pPr>
                              <w:pStyle w:val="BalloonText"/>
                              <w:jc w:val="center"/>
                              <w:rPr>
                                <w:rFonts w:ascii="Arial" w:eastAsia="Times New Roman" w:hAnsi="Arial" w:cs="Times New Roman"/>
                                <w:b/>
                                <w:szCs w:val="20"/>
                              </w:rPr>
                            </w:pPr>
                            <w:r w:rsidRPr="006B13A0">
                              <w:rPr>
                                <w:b/>
                                <w:sz w:val="20"/>
                              </w:rPr>
                              <w:t xml:space="preserve">Figure </w:t>
                            </w:r>
                            <w:r w:rsidRPr="006B13A0">
                              <w:rPr>
                                <w:b/>
                                <w:sz w:val="20"/>
                              </w:rPr>
                              <w:fldChar w:fldCharType="begin"/>
                            </w:r>
                            <w:r w:rsidRPr="006B13A0">
                              <w:rPr>
                                <w:b/>
                                <w:sz w:val="20"/>
                              </w:rPr>
                              <w:instrText xml:space="preserve"> SEQ Figure \* ARABIC </w:instrText>
                            </w:r>
                            <w:r w:rsidRPr="006B13A0">
                              <w:rPr>
                                <w:b/>
                                <w:sz w:val="20"/>
                              </w:rPr>
                              <w:fldChar w:fldCharType="separate"/>
                            </w:r>
                            <w:r w:rsidR="000159A3">
                              <w:rPr>
                                <w:b/>
                                <w:noProof/>
                                <w:sz w:val="20"/>
                              </w:rPr>
                              <w:t>2</w:t>
                            </w:r>
                            <w:r w:rsidRPr="006B13A0">
                              <w:rPr>
                                <w:b/>
                                <w:sz w:val="20"/>
                              </w:rPr>
                              <w:fldChar w:fldCharType="end"/>
                            </w:r>
                            <w:r w:rsidRPr="006B13A0">
                              <w:rPr>
                                <w:b/>
                                <w:sz w:val="20"/>
                              </w:rPr>
                              <w:t>: Beam management and beam recovery procedures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A40CF0" id="_x0000_t202" coordsize="21600,21600" o:spt="202" path="m,l,21600r21600,l21600,xe">
                <v:stroke joinstyle="miter"/>
                <v:path gradientshapeok="t" o:connecttype="rect"/>
              </v:shapetype>
              <v:shape id="Text Box 21" o:spid="_x0000_s1042" type="#_x0000_t202" style="position:absolute;margin-left:0;margin-top:263.7pt;width:495.75pt;height:14.2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" stroked="f">
                <v:textbox inset="0,0,0,0">
                  <w:txbxContent>
                    <w:p w14:paraId="334C9CA5" w14:textId="77777777" w:rsidR="006B13A0" w:rsidRPr="006B13A0" w:rsidRDefault="006B13A0" w:rsidP="006B13A0">
                      <w:pPr>
                        <w:pStyle w:val="BalloonText"/>
                        <w:jc w:val="center"/>
                        <w:rPr>
                          <w:rFonts w:ascii="Arial" w:eastAsia="Times New Roman" w:hAnsi="Arial" w:cs="Times New Roman"/>
                          <w:b/>
                          <w:szCs w:val="20"/>
                        </w:rPr>
                      </w:pPr>
                      <w:r w:rsidRPr="006B13A0">
                        <w:rPr>
                          <w:b/>
                          <w:sz w:val="20"/>
                        </w:rPr>
                        <w:t xml:space="preserve">Figure </w:t>
                      </w:r>
                      <w:r w:rsidRPr="006B13A0">
                        <w:rPr>
                          <w:b/>
                          <w:sz w:val="20"/>
                        </w:rPr>
                        <w:fldChar w:fldCharType="begin"/>
                      </w:r>
                      <w:r w:rsidRPr="006B13A0">
                        <w:rPr>
                          <w:b/>
                          <w:sz w:val="20"/>
                        </w:rPr>
                        <w:instrText xml:space="preserve"> SEQ Figure \* ARABIC </w:instrText>
                      </w:r>
                      <w:r w:rsidRPr="006B13A0">
                        <w:rPr>
                          <w:b/>
                          <w:sz w:val="20"/>
                        </w:rPr>
                        <w:fldChar w:fldCharType="separate"/>
                      </w:r>
                      <w:r w:rsidR="000159A3">
                        <w:rPr>
                          <w:b/>
                          <w:noProof/>
                          <w:sz w:val="20"/>
                        </w:rPr>
                        <w:t>2</w:t>
                      </w:r>
                      <w:r w:rsidRPr="006B13A0">
                        <w:rPr>
                          <w:b/>
                          <w:sz w:val="20"/>
                        </w:rPr>
                        <w:fldChar w:fldCharType="end"/>
                      </w:r>
                      <w:r w:rsidRPr="006B13A0">
                        <w:rPr>
                          <w:b/>
                          <w:sz w:val="20"/>
                        </w:rPr>
                        <w:t>: Beam management and beam recovery procedures</w:t>
                      </w:r>
                    </w:p>
                  </w:txbxContent>
                </v:textbox>
                <w10:wrap anchorx="margin"/>
              </v:shape>
            </w:pict>
          </mc:Fallback>
        </mc:AlternateContent>
      </w:r>
    </w:p>
    <w:p w14:paraId="72D1A028" w14:textId="77777777" w:rsidR="006B13A0" w:rsidRPr="00D6164A" w:rsidRDefault="006B13A0" w:rsidP="006B13A0">
      <w:pPr>
        <w:spacing w:line="312" w:lineRule="auto"/>
        <w:rPr>
          <w:rFonts w:ascii="Calibri" w:hAnsi="Calibri" w:cs="Arial"/>
          <w:b/>
          <w:lang w:val="en-GB"/>
        </w:rPr>
      </w:pPr>
      <w:r>
        <w:rPr>
          <w:rFonts w:ascii="Calibri" w:hAnsi="Calibri" w:cs="Arial"/>
          <w:b/>
          <w:lang w:val="en-GB"/>
        </w:rPr>
        <w:lastRenderedPageBreak/>
        <w:t>Observation</w:t>
      </w:r>
      <w:r w:rsidRPr="00D6164A">
        <w:rPr>
          <w:rFonts w:ascii="Calibri" w:hAnsi="Calibri" w:cs="Arial"/>
          <w:b/>
          <w:lang w:val="en-GB"/>
        </w:rPr>
        <w:t xml:space="preserve"> </w:t>
      </w:r>
      <w:r>
        <w:rPr>
          <w:rFonts w:ascii="Calibri" w:hAnsi="Calibri" w:cs="Arial"/>
          <w:b/>
          <w:lang w:val="en-GB"/>
        </w:rPr>
        <w:t>1</w:t>
      </w:r>
      <w:r w:rsidRPr="00D6164A">
        <w:rPr>
          <w:rFonts w:ascii="Calibri" w:hAnsi="Calibri" w:cs="Arial"/>
          <w:b/>
          <w:lang w:val="en-GB"/>
        </w:rPr>
        <w:t xml:space="preserve">: </w:t>
      </w:r>
      <w:r>
        <w:rPr>
          <w:rFonts w:ascii="Calibri" w:hAnsi="Calibri" w:cs="Arial"/>
          <w:b/>
          <w:lang w:val="en-GB"/>
        </w:rPr>
        <w:t>Beam management and beam recovery are two procedures that run in parallel</w:t>
      </w:r>
    </w:p>
    <w:p w14:paraId="2EF9797D" w14:textId="21DA07FD" w:rsidR="006B13A0" w:rsidRPr="006B13A0" w:rsidRDefault="006B13A0" w:rsidP="006B13A0">
      <w:pPr>
        <w:spacing w:line="312" w:lineRule="auto"/>
        <w:rPr>
          <w:rFonts w:ascii="Calibri" w:hAnsi="Calibri" w:cs="Arial"/>
          <w:b/>
          <w:lang w:val="en-GB"/>
        </w:rPr>
      </w:pPr>
      <w:r w:rsidRPr="00C27020">
        <w:rPr>
          <w:rFonts w:ascii="Calibri" w:hAnsi="Calibri" w:cs="Arial"/>
          <w:b/>
          <w:lang w:val="en-GB"/>
        </w:rPr>
        <w:t>Observation</w:t>
      </w:r>
      <w:r>
        <w:rPr>
          <w:rFonts w:ascii="Calibri" w:hAnsi="Calibri" w:cs="Arial"/>
          <w:b/>
          <w:lang w:val="en-GB"/>
        </w:rPr>
        <w:t xml:space="preserve"> 2</w:t>
      </w:r>
      <w:r w:rsidRPr="00C27020">
        <w:rPr>
          <w:rFonts w:ascii="Calibri" w:hAnsi="Calibri" w:cs="Arial"/>
          <w:b/>
          <w:lang w:val="en-GB"/>
        </w:rPr>
        <w:t xml:space="preserve">: </w:t>
      </w:r>
      <w:r>
        <w:rPr>
          <w:rFonts w:ascii="Calibri" w:hAnsi="Calibri" w:cs="Arial"/>
          <w:b/>
          <w:lang w:val="en-GB"/>
        </w:rPr>
        <w:t>Beam recovery uses beam management measurement and reporting for beam failure detection and identification of beams for recovery.</w:t>
      </w:r>
    </w:p>
    <w:p w14:paraId="353E9BEC" w14:textId="76B6EDC0" w:rsidR="006B13A0" w:rsidRDefault="006B13A0" w:rsidP="000C5F30">
      <w:pPr>
        <w:rPr>
          <w:lang w:val="en-GB"/>
        </w:rPr>
      </w:pPr>
      <w:r>
        <w:rPr>
          <w:lang w:val="en-GB"/>
        </w:rPr>
        <w:t xml:space="preserve">Beam failure detection occurs when the quality of the beam pair link(s) of an associated control channel falls low enough. To detect beam failure, the UE monitors beam management RS to assess BPL(s) quality. UE-specific CSI-RS, used for beam management, can be used for beam failure recovery detection. </w:t>
      </w:r>
    </w:p>
    <w:p w14:paraId="01E9560F" w14:textId="1BEA1A09" w:rsidR="006B13A0" w:rsidRPr="006B13A0" w:rsidRDefault="006B13A0" w:rsidP="000C5F30">
      <w:pPr>
        <w:rPr>
          <w:b/>
          <w:lang w:val="en-GB"/>
        </w:rPr>
      </w:pPr>
      <w:r w:rsidRPr="006B13A0">
        <w:rPr>
          <w:b/>
          <w:lang w:val="en-GB"/>
        </w:rPr>
        <w:t xml:space="preserve">Proposal 1: </w:t>
      </w:r>
      <w:r w:rsidR="003F18D4">
        <w:rPr>
          <w:b/>
          <w:lang w:val="en-GB"/>
        </w:rPr>
        <w:t>Beam management RS</w:t>
      </w:r>
      <w:r w:rsidRPr="006B13A0">
        <w:rPr>
          <w:b/>
          <w:lang w:val="en-GB"/>
        </w:rPr>
        <w:t xml:space="preserve"> </w:t>
      </w:r>
      <w:r>
        <w:rPr>
          <w:b/>
          <w:lang w:val="en-GB"/>
        </w:rPr>
        <w:t xml:space="preserve">is </w:t>
      </w:r>
      <w:r w:rsidRPr="006B13A0">
        <w:rPr>
          <w:b/>
          <w:lang w:val="en-GB"/>
        </w:rPr>
        <w:t>used for beam failure detection</w:t>
      </w:r>
      <w:r>
        <w:rPr>
          <w:b/>
          <w:lang w:val="en-GB"/>
        </w:rPr>
        <w:t>.</w:t>
      </w:r>
    </w:p>
    <w:p w14:paraId="784F5476" w14:textId="20BF3FE5" w:rsidR="000C3241" w:rsidRDefault="00756B03" w:rsidP="000C5F30">
      <w:pPr>
        <w:rPr>
          <w:lang w:val="en-GB"/>
        </w:rPr>
      </w:pPr>
      <w:r>
        <w:rPr>
          <w:lang w:val="en-GB"/>
        </w:rPr>
        <w:t xml:space="preserve">Upon receiving </w:t>
      </w:r>
      <w:r w:rsidR="007450E7">
        <w:rPr>
          <w:lang w:val="en-GB"/>
        </w:rPr>
        <w:t xml:space="preserve">the beam recovery </w:t>
      </w:r>
      <w:r w:rsidR="006B13A0">
        <w:rPr>
          <w:lang w:val="en-GB"/>
        </w:rPr>
        <w:t xml:space="preserve">request </w:t>
      </w:r>
      <w:r w:rsidR="007450E7">
        <w:rPr>
          <w:lang w:val="en-GB"/>
        </w:rPr>
        <w:t>signal, network may simply switch to the alternative beam (determined earlier</w:t>
      </w:r>
      <w:r w:rsidR="006B13A0">
        <w:rPr>
          <w:lang w:val="en-GB"/>
        </w:rPr>
        <w:t xml:space="preserve"> in beam identification</w:t>
      </w:r>
      <w:r w:rsidR="007450E7">
        <w:rPr>
          <w:lang w:val="en-GB"/>
        </w:rPr>
        <w:t xml:space="preserve">) or network may trigger beam management procedure to get more information on UE’s current </w:t>
      </w:r>
      <w:r w:rsidR="003D41DA">
        <w:rPr>
          <w:lang w:val="en-GB"/>
        </w:rPr>
        <w:t>beam situation.</w:t>
      </w:r>
      <w:r w:rsidR="000C3241">
        <w:rPr>
          <w:lang w:val="en-GB"/>
        </w:rPr>
        <w:t xml:space="preserve"> On the other hand, the beam switching of control channel may result in some data flowing switching between two TRPs with same cell ID or different cell ID. Therefore, we propose that a RAN2 event should be created trigger</w:t>
      </w:r>
      <w:r w:rsidR="003F18D4">
        <w:rPr>
          <w:lang w:val="en-GB"/>
        </w:rPr>
        <w:t>ed</w:t>
      </w:r>
      <w:r w:rsidR="000C3241">
        <w:rPr>
          <w:lang w:val="en-GB"/>
        </w:rPr>
        <w:t xml:space="preserve"> by the beam failure signalling and we propose to call the new event as “Radio Link Interruption” to make it different from Radio Link </w:t>
      </w:r>
      <w:r w:rsidR="000C3241" w:rsidRPr="00E80422">
        <w:rPr>
          <w:lang w:val="en-GB"/>
        </w:rPr>
        <w:t>Failure</w:t>
      </w:r>
      <w:r w:rsidR="007E5AFA" w:rsidRPr="00E80422">
        <w:rPr>
          <w:lang w:val="en-GB"/>
        </w:rPr>
        <w:t xml:space="preserve"> [</w:t>
      </w:r>
      <w:r w:rsidR="006B13A0">
        <w:rPr>
          <w:lang w:val="en-GB"/>
        </w:rPr>
        <w:t>1</w:t>
      </w:r>
      <w:r w:rsidR="007E5AFA" w:rsidRPr="00E80422">
        <w:rPr>
          <w:lang w:val="en-GB"/>
        </w:rPr>
        <w:t>]</w:t>
      </w:r>
      <w:r w:rsidR="000C3241" w:rsidRPr="00E80422">
        <w:rPr>
          <w:lang w:val="en-GB"/>
        </w:rPr>
        <w:t>.</w:t>
      </w:r>
      <w:r w:rsidR="000C3241">
        <w:rPr>
          <w:lang w:val="en-GB"/>
        </w:rPr>
        <w:t xml:space="preserve"> </w:t>
      </w:r>
    </w:p>
    <w:p w14:paraId="6B6331A0" w14:textId="382C0372" w:rsidR="000C3241" w:rsidRPr="000C3241" w:rsidRDefault="000C3241" w:rsidP="000C5F30">
      <w:pPr>
        <w:rPr>
          <w:b/>
          <w:lang w:val="en-GB"/>
        </w:rPr>
      </w:pPr>
      <w:r>
        <w:rPr>
          <w:b/>
          <w:lang w:val="en-GB"/>
        </w:rPr>
        <w:t xml:space="preserve">Proposal-2: Sending beam failure signal should trigger an event </w:t>
      </w:r>
      <w:r w:rsidR="00557E3C">
        <w:rPr>
          <w:b/>
          <w:lang w:val="en-GB"/>
        </w:rPr>
        <w:t xml:space="preserve">defined </w:t>
      </w:r>
      <w:r>
        <w:rPr>
          <w:b/>
          <w:lang w:val="en-GB"/>
        </w:rPr>
        <w:t xml:space="preserve">in RAN2 </w:t>
      </w:r>
      <w:r w:rsidR="00557E3C">
        <w:rPr>
          <w:b/>
          <w:lang w:val="en-GB"/>
        </w:rPr>
        <w:t xml:space="preserve">spec </w:t>
      </w:r>
      <w:r>
        <w:rPr>
          <w:b/>
          <w:lang w:val="en-GB"/>
        </w:rPr>
        <w:t xml:space="preserve">and we propose to create a new event in RAN2 </w:t>
      </w:r>
      <w:r w:rsidR="000B4387">
        <w:rPr>
          <w:b/>
          <w:lang w:val="en-GB"/>
        </w:rPr>
        <w:t xml:space="preserve">spec </w:t>
      </w:r>
      <w:r>
        <w:rPr>
          <w:b/>
          <w:lang w:val="en-GB"/>
        </w:rPr>
        <w:t>called Radio Link Interruption.</w:t>
      </w:r>
    </w:p>
    <w:p w14:paraId="214089F1" w14:textId="77777777" w:rsidR="0025521A" w:rsidRDefault="0025521A" w:rsidP="00411B51">
      <w:pPr>
        <w:rPr>
          <w:lang w:val="en-GB"/>
        </w:rPr>
      </w:pPr>
    </w:p>
    <w:p w14:paraId="70C82586" w14:textId="6A5BE23B" w:rsidR="008D04DC" w:rsidRDefault="007C3145" w:rsidP="008D04DC">
      <w:pPr>
        <w:pStyle w:val="Heading1"/>
      </w:pPr>
      <w:r>
        <w:t>Conclusion</w:t>
      </w:r>
    </w:p>
    <w:p w14:paraId="5D3F33F4" w14:textId="7D175CA5" w:rsidR="00BE4FED" w:rsidRPr="00BE4FED" w:rsidRDefault="007C3145" w:rsidP="00BE4FED">
      <w:pPr>
        <w:rPr>
          <w:lang w:val="en-GB"/>
        </w:rPr>
      </w:pPr>
      <w:r>
        <w:rPr>
          <w:lang w:val="en-GB"/>
        </w:rPr>
        <w:t xml:space="preserve">In this paper, we give our view on </w:t>
      </w:r>
      <w:r w:rsidR="00BE4FED">
        <w:rPr>
          <w:lang w:val="en-GB"/>
        </w:rPr>
        <w:t xml:space="preserve">the beam </w:t>
      </w:r>
      <w:r w:rsidR="006B13A0">
        <w:rPr>
          <w:lang w:val="en-GB"/>
        </w:rPr>
        <w:t>recovery mechanism</w:t>
      </w:r>
      <w:r w:rsidR="00BE4FED">
        <w:rPr>
          <w:lang w:val="en-GB"/>
        </w:rPr>
        <w:t xml:space="preserve">. In particular, we </w:t>
      </w:r>
      <w:r w:rsidR="006B13A0">
        <w:rPr>
          <w:lang w:val="en-GB"/>
        </w:rPr>
        <w:t>make the following observations and proposals</w:t>
      </w:r>
      <w:r w:rsidR="00BE4FED">
        <w:rPr>
          <w:lang w:val="en-GB"/>
        </w:rPr>
        <w:t xml:space="preserve">: </w:t>
      </w:r>
    </w:p>
    <w:p w14:paraId="4F7A4575" w14:textId="77777777" w:rsidR="006B13A0" w:rsidRPr="00D6164A" w:rsidRDefault="006B13A0" w:rsidP="006B13A0">
      <w:pPr>
        <w:spacing w:line="312" w:lineRule="auto"/>
        <w:rPr>
          <w:rFonts w:ascii="Calibri" w:hAnsi="Calibri" w:cs="Arial"/>
          <w:b/>
          <w:lang w:val="en-GB"/>
        </w:rPr>
      </w:pPr>
      <w:r>
        <w:rPr>
          <w:rFonts w:ascii="Calibri" w:hAnsi="Calibri" w:cs="Arial"/>
          <w:b/>
          <w:lang w:val="en-GB"/>
        </w:rPr>
        <w:t>Observation</w:t>
      </w:r>
      <w:r w:rsidRPr="00D6164A">
        <w:rPr>
          <w:rFonts w:ascii="Calibri" w:hAnsi="Calibri" w:cs="Arial"/>
          <w:b/>
          <w:lang w:val="en-GB"/>
        </w:rPr>
        <w:t xml:space="preserve"> </w:t>
      </w:r>
      <w:r>
        <w:rPr>
          <w:rFonts w:ascii="Calibri" w:hAnsi="Calibri" w:cs="Arial"/>
          <w:b/>
          <w:lang w:val="en-GB"/>
        </w:rPr>
        <w:t>1</w:t>
      </w:r>
      <w:r w:rsidRPr="00D6164A">
        <w:rPr>
          <w:rFonts w:ascii="Calibri" w:hAnsi="Calibri" w:cs="Arial"/>
          <w:b/>
          <w:lang w:val="en-GB"/>
        </w:rPr>
        <w:t xml:space="preserve">: </w:t>
      </w:r>
      <w:r>
        <w:rPr>
          <w:rFonts w:ascii="Calibri" w:hAnsi="Calibri" w:cs="Arial"/>
          <w:b/>
          <w:lang w:val="en-GB"/>
        </w:rPr>
        <w:t>Beam management and beam recovery are two procedures that run in parallel</w:t>
      </w:r>
    </w:p>
    <w:p w14:paraId="20C783E8" w14:textId="77777777" w:rsidR="006B13A0" w:rsidRPr="006B13A0" w:rsidRDefault="006B13A0" w:rsidP="006B13A0">
      <w:pPr>
        <w:spacing w:line="312" w:lineRule="auto"/>
        <w:rPr>
          <w:rFonts w:ascii="Calibri" w:hAnsi="Calibri" w:cs="Arial"/>
          <w:b/>
          <w:lang w:val="en-GB"/>
        </w:rPr>
      </w:pPr>
      <w:r w:rsidRPr="00C27020">
        <w:rPr>
          <w:rFonts w:ascii="Calibri" w:hAnsi="Calibri" w:cs="Arial"/>
          <w:b/>
          <w:lang w:val="en-GB"/>
        </w:rPr>
        <w:t>Observation</w:t>
      </w:r>
      <w:r>
        <w:rPr>
          <w:rFonts w:ascii="Calibri" w:hAnsi="Calibri" w:cs="Arial"/>
          <w:b/>
          <w:lang w:val="en-GB"/>
        </w:rPr>
        <w:t xml:space="preserve"> 2</w:t>
      </w:r>
      <w:r w:rsidRPr="00C27020">
        <w:rPr>
          <w:rFonts w:ascii="Calibri" w:hAnsi="Calibri" w:cs="Arial"/>
          <w:b/>
          <w:lang w:val="en-GB"/>
        </w:rPr>
        <w:t xml:space="preserve">: </w:t>
      </w:r>
      <w:r>
        <w:rPr>
          <w:rFonts w:ascii="Calibri" w:hAnsi="Calibri" w:cs="Arial"/>
          <w:b/>
          <w:lang w:val="en-GB"/>
        </w:rPr>
        <w:t>Beam recovery uses beam management measurement and reporting for beam failure detection and identification of beams for recovery.</w:t>
      </w:r>
    </w:p>
    <w:p w14:paraId="2D313E5C" w14:textId="77777777" w:rsidR="003F18D4" w:rsidRPr="006B13A0" w:rsidRDefault="003F18D4" w:rsidP="003F18D4">
      <w:pPr>
        <w:rPr>
          <w:b/>
          <w:lang w:val="en-GB"/>
        </w:rPr>
      </w:pPr>
      <w:r w:rsidRPr="006B13A0">
        <w:rPr>
          <w:b/>
          <w:lang w:val="en-GB"/>
        </w:rPr>
        <w:t xml:space="preserve">Proposal 1: </w:t>
      </w:r>
      <w:r>
        <w:rPr>
          <w:b/>
          <w:lang w:val="en-GB"/>
        </w:rPr>
        <w:t>Beam management RS</w:t>
      </w:r>
      <w:r w:rsidRPr="006B13A0">
        <w:rPr>
          <w:b/>
          <w:lang w:val="en-GB"/>
        </w:rPr>
        <w:t xml:space="preserve"> </w:t>
      </w:r>
      <w:r>
        <w:rPr>
          <w:b/>
          <w:lang w:val="en-GB"/>
        </w:rPr>
        <w:t xml:space="preserve">is </w:t>
      </w:r>
      <w:r w:rsidRPr="006B13A0">
        <w:rPr>
          <w:b/>
          <w:lang w:val="en-GB"/>
        </w:rPr>
        <w:t>used for beam failure detection</w:t>
      </w:r>
      <w:r>
        <w:rPr>
          <w:b/>
          <w:lang w:val="en-GB"/>
        </w:rPr>
        <w:t>.</w:t>
      </w:r>
    </w:p>
    <w:p w14:paraId="43F8A310" w14:textId="55321507" w:rsidR="0025521A" w:rsidRPr="006B13A0" w:rsidRDefault="006B13A0" w:rsidP="006B13A0">
      <w:pPr>
        <w:rPr>
          <w:b/>
          <w:lang w:val="en-GB"/>
        </w:rPr>
      </w:pPr>
      <w:r>
        <w:rPr>
          <w:b/>
          <w:lang w:val="en-GB"/>
        </w:rPr>
        <w:t xml:space="preserve">Proposal-2: Sending beam failure signal should trigger an event defined in RAN2 spec and we propose to create a new event in RAN2 </w:t>
      </w:r>
      <w:r w:rsidR="003F18D4">
        <w:rPr>
          <w:b/>
          <w:lang w:val="en-GB"/>
        </w:rPr>
        <w:t xml:space="preserve">spec </w:t>
      </w:r>
      <w:bookmarkStart w:id="2" w:name="_GoBack"/>
      <w:bookmarkEnd w:id="2"/>
      <w:r>
        <w:rPr>
          <w:b/>
          <w:lang w:val="en-GB"/>
        </w:rPr>
        <w:t>called Radio Link Interruption.</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17F6C7A2" w14:textId="7BBB4682" w:rsidR="00990A43" w:rsidRPr="00E278E8" w:rsidRDefault="00990A43" w:rsidP="00E278E8">
      <w:pPr>
        <w:pStyle w:val="2222"/>
        <w:numPr>
          <w:ilvl w:val="0"/>
          <w:numId w:val="19"/>
        </w:numPr>
        <w:spacing w:after="120" w:line="288" w:lineRule="auto"/>
        <w:ind w:left="357" w:firstLineChars="0" w:hanging="357"/>
        <w:rPr>
          <w:rFonts w:eastAsia="Batang" w:cs="Times New Roman"/>
          <w:lang w:eastAsia="zh-CN"/>
        </w:rPr>
      </w:pPr>
      <w:r w:rsidRPr="00990A43">
        <w:rPr>
          <w:rFonts w:cs="Times New Roman"/>
          <w:lang w:eastAsia="ko-KR"/>
        </w:rPr>
        <w:t>R2-</w:t>
      </w:r>
      <w:r w:rsidRPr="00E278E8">
        <w:rPr>
          <w:rFonts w:eastAsia="Batang" w:cs="Times New Roman"/>
          <w:lang w:eastAsia="zh-CN"/>
        </w:rPr>
        <w:t>170</w:t>
      </w:r>
      <w:r w:rsidR="006B13A0">
        <w:rPr>
          <w:rFonts w:eastAsia="Batang" w:cs="Times New Roman"/>
          <w:lang w:eastAsia="zh-CN"/>
        </w:rPr>
        <w:t>4487</w:t>
      </w:r>
      <w:r w:rsidRPr="00E278E8">
        <w:rPr>
          <w:rFonts w:eastAsia="Batang" w:cs="Times New Roman"/>
          <w:lang w:eastAsia="zh-CN"/>
        </w:rPr>
        <w:t>, Beam Failure (BF) and Radio Link Interruption (RLI), AT&amp;T</w:t>
      </w:r>
    </w:p>
    <w:p w14:paraId="0CD97759" w14:textId="4AF1F6CF" w:rsidR="00AF2C72" w:rsidRPr="00AF2C72" w:rsidRDefault="00AF2C72" w:rsidP="00AF2C72">
      <w:pPr>
        <w:rPr>
          <w:lang w:val="en-GB"/>
        </w:rPr>
      </w:pPr>
    </w:p>
    <w:sectPr w:rsidR="00AF2C72" w:rsidRPr="00AF2C72"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07814" w14:textId="77777777" w:rsidR="000E4677" w:rsidRDefault="000E4677" w:rsidP="00A03DF3">
      <w:pPr>
        <w:spacing w:after="0"/>
      </w:pPr>
      <w:r>
        <w:separator/>
      </w:r>
    </w:p>
  </w:endnote>
  <w:endnote w:type="continuationSeparator" w:id="0">
    <w:p w14:paraId="66DC8D23" w14:textId="77777777" w:rsidR="000E4677" w:rsidRDefault="000E467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777777"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F18D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18D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492E8" w14:textId="77777777" w:rsidR="000E4677" w:rsidRDefault="000E4677" w:rsidP="00A03DF3">
      <w:pPr>
        <w:spacing w:after="0"/>
      </w:pPr>
      <w:r>
        <w:separator/>
      </w:r>
    </w:p>
  </w:footnote>
  <w:footnote w:type="continuationSeparator" w:id="0">
    <w:p w14:paraId="5FCCAA63" w14:textId="77777777" w:rsidR="000E4677" w:rsidRDefault="000E467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5"/>
  </w:num>
  <w:num w:numId="5">
    <w:abstractNumId w:val="10"/>
  </w:num>
  <w:num w:numId="6">
    <w:abstractNumId w:val="6"/>
  </w:num>
  <w:num w:numId="7">
    <w:abstractNumId w:val="26"/>
  </w:num>
  <w:num w:numId="8">
    <w:abstractNumId w:val="17"/>
  </w:num>
  <w:num w:numId="9">
    <w:abstractNumId w:val="22"/>
  </w:num>
  <w:num w:numId="10">
    <w:abstractNumId w:val="3"/>
  </w:num>
  <w:num w:numId="11">
    <w:abstractNumId w:val="8"/>
  </w:num>
  <w:num w:numId="12">
    <w:abstractNumId w:val="21"/>
  </w:num>
  <w:num w:numId="13">
    <w:abstractNumId w:val="9"/>
  </w:num>
  <w:num w:numId="14">
    <w:abstractNumId w:val="14"/>
  </w:num>
  <w:num w:numId="15">
    <w:abstractNumId w:val="16"/>
  </w:num>
  <w:num w:numId="16">
    <w:abstractNumId w:val="23"/>
  </w:num>
  <w:num w:numId="17">
    <w:abstractNumId w:val="24"/>
  </w:num>
  <w:num w:numId="18">
    <w:abstractNumId w:val="1"/>
  </w:num>
  <w:num w:numId="19">
    <w:abstractNumId w:val="4"/>
  </w:num>
  <w:num w:numId="20">
    <w:abstractNumId w:val="20"/>
  </w:num>
  <w:num w:numId="21">
    <w:abstractNumId w:val="13"/>
  </w:num>
  <w:num w:numId="22">
    <w:abstractNumId w:val="15"/>
  </w:num>
  <w:num w:numId="23">
    <w:abstractNumId w:val="19"/>
  </w:num>
  <w:num w:numId="24">
    <w:abstractNumId w:val="18"/>
  </w:num>
  <w:num w:numId="25">
    <w:abstractNumId w:val="12"/>
  </w:num>
  <w:num w:numId="26">
    <w:abstractNumId w:val="2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3BFA"/>
    <w:rsid w:val="0004589F"/>
    <w:rsid w:val="00045CDA"/>
    <w:rsid w:val="00051B99"/>
    <w:rsid w:val="00066211"/>
    <w:rsid w:val="00066D52"/>
    <w:rsid w:val="0007152D"/>
    <w:rsid w:val="000832B2"/>
    <w:rsid w:val="00092FC7"/>
    <w:rsid w:val="000935E4"/>
    <w:rsid w:val="000954F9"/>
    <w:rsid w:val="000A3623"/>
    <w:rsid w:val="000A3742"/>
    <w:rsid w:val="000B4387"/>
    <w:rsid w:val="000C2AB2"/>
    <w:rsid w:val="000C3241"/>
    <w:rsid w:val="000C5F30"/>
    <w:rsid w:val="000D0F48"/>
    <w:rsid w:val="000D44F3"/>
    <w:rsid w:val="000D7B19"/>
    <w:rsid w:val="000E4677"/>
    <w:rsid w:val="000E7D06"/>
    <w:rsid w:val="000F0E8F"/>
    <w:rsid w:val="000F70D6"/>
    <w:rsid w:val="001001EF"/>
    <w:rsid w:val="001026C3"/>
    <w:rsid w:val="00104F96"/>
    <w:rsid w:val="00105963"/>
    <w:rsid w:val="00107EBD"/>
    <w:rsid w:val="00112BF4"/>
    <w:rsid w:val="001153C1"/>
    <w:rsid w:val="0011607E"/>
    <w:rsid w:val="00116777"/>
    <w:rsid w:val="00123BDE"/>
    <w:rsid w:val="001241AA"/>
    <w:rsid w:val="00125BD3"/>
    <w:rsid w:val="001324C6"/>
    <w:rsid w:val="00134857"/>
    <w:rsid w:val="0013723F"/>
    <w:rsid w:val="001372D8"/>
    <w:rsid w:val="001402F1"/>
    <w:rsid w:val="00144A9B"/>
    <w:rsid w:val="001456CE"/>
    <w:rsid w:val="00146787"/>
    <w:rsid w:val="00147AF1"/>
    <w:rsid w:val="0015086A"/>
    <w:rsid w:val="00150F00"/>
    <w:rsid w:val="00152E02"/>
    <w:rsid w:val="00157ECF"/>
    <w:rsid w:val="0016463F"/>
    <w:rsid w:val="001735CB"/>
    <w:rsid w:val="00180BD3"/>
    <w:rsid w:val="00183B2D"/>
    <w:rsid w:val="00184167"/>
    <w:rsid w:val="0019306E"/>
    <w:rsid w:val="001968DB"/>
    <w:rsid w:val="001974D0"/>
    <w:rsid w:val="001A059E"/>
    <w:rsid w:val="001A0BC6"/>
    <w:rsid w:val="001B148E"/>
    <w:rsid w:val="001B1ED0"/>
    <w:rsid w:val="001B6C4D"/>
    <w:rsid w:val="001C3C25"/>
    <w:rsid w:val="001D7377"/>
    <w:rsid w:val="001E0FE1"/>
    <w:rsid w:val="001E7A26"/>
    <w:rsid w:val="001F0EBA"/>
    <w:rsid w:val="00206D78"/>
    <w:rsid w:val="00206DA2"/>
    <w:rsid w:val="0020778E"/>
    <w:rsid w:val="00207CDD"/>
    <w:rsid w:val="00211B7F"/>
    <w:rsid w:val="00215D87"/>
    <w:rsid w:val="00221100"/>
    <w:rsid w:val="002215F1"/>
    <w:rsid w:val="0022189F"/>
    <w:rsid w:val="00223388"/>
    <w:rsid w:val="00224D3B"/>
    <w:rsid w:val="00225AA6"/>
    <w:rsid w:val="0023027D"/>
    <w:rsid w:val="002329AE"/>
    <w:rsid w:val="00235F95"/>
    <w:rsid w:val="00243337"/>
    <w:rsid w:val="00245D97"/>
    <w:rsid w:val="00250A2F"/>
    <w:rsid w:val="00250CF1"/>
    <w:rsid w:val="00250D87"/>
    <w:rsid w:val="00253CE0"/>
    <w:rsid w:val="0025521A"/>
    <w:rsid w:val="002639F5"/>
    <w:rsid w:val="00264F59"/>
    <w:rsid w:val="0026628D"/>
    <w:rsid w:val="002665E9"/>
    <w:rsid w:val="00270E7D"/>
    <w:rsid w:val="00273449"/>
    <w:rsid w:val="00273B90"/>
    <w:rsid w:val="00280D6A"/>
    <w:rsid w:val="00282243"/>
    <w:rsid w:val="00294E72"/>
    <w:rsid w:val="002A443F"/>
    <w:rsid w:val="002B113B"/>
    <w:rsid w:val="002B26F8"/>
    <w:rsid w:val="002C49F0"/>
    <w:rsid w:val="002D0E77"/>
    <w:rsid w:val="002D1D49"/>
    <w:rsid w:val="002D6FB7"/>
    <w:rsid w:val="002F3FC4"/>
    <w:rsid w:val="00301F11"/>
    <w:rsid w:val="00303721"/>
    <w:rsid w:val="00304012"/>
    <w:rsid w:val="00305BD0"/>
    <w:rsid w:val="0031220B"/>
    <w:rsid w:val="00316619"/>
    <w:rsid w:val="00320BD0"/>
    <w:rsid w:val="00323D1C"/>
    <w:rsid w:val="003246F3"/>
    <w:rsid w:val="003266DD"/>
    <w:rsid w:val="00331DD7"/>
    <w:rsid w:val="003336FC"/>
    <w:rsid w:val="00337899"/>
    <w:rsid w:val="00340D03"/>
    <w:rsid w:val="003547D5"/>
    <w:rsid w:val="00363E20"/>
    <w:rsid w:val="0037404F"/>
    <w:rsid w:val="00375AB6"/>
    <w:rsid w:val="00376A4C"/>
    <w:rsid w:val="003778D9"/>
    <w:rsid w:val="00387A55"/>
    <w:rsid w:val="00390188"/>
    <w:rsid w:val="00393F89"/>
    <w:rsid w:val="0039473D"/>
    <w:rsid w:val="00395A22"/>
    <w:rsid w:val="003A157A"/>
    <w:rsid w:val="003A17F8"/>
    <w:rsid w:val="003A1BE3"/>
    <w:rsid w:val="003A1CDB"/>
    <w:rsid w:val="003A3C47"/>
    <w:rsid w:val="003A6195"/>
    <w:rsid w:val="003A78B4"/>
    <w:rsid w:val="003B28E2"/>
    <w:rsid w:val="003B4545"/>
    <w:rsid w:val="003B5826"/>
    <w:rsid w:val="003B5C49"/>
    <w:rsid w:val="003C04C9"/>
    <w:rsid w:val="003D41DA"/>
    <w:rsid w:val="003D53F0"/>
    <w:rsid w:val="003D6E67"/>
    <w:rsid w:val="003D7039"/>
    <w:rsid w:val="003E3522"/>
    <w:rsid w:val="003E7DEE"/>
    <w:rsid w:val="003F18D4"/>
    <w:rsid w:val="003F1A54"/>
    <w:rsid w:val="003F68FF"/>
    <w:rsid w:val="00401CA4"/>
    <w:rsid w:val="00404B2F"/>
    <w:rsid w:val="00404E7A"/>
    <w:rsid w:val="00411B51"/>
    <w:rsid w:val="0041562C"/>
    <w:rsid w:val="00416848"/>
    <w:rsid w:val="0041687B"/>
    <w:rsid w:val="00417010"/>
    <w:rsid w:val="0041753A"/>
    <w:rsid w:val="00420203"/>
    <w:rsid w:val="00422C37"/>
    <w:rsid w:val="004340D2"/>
    <w:rsid w:val="00434EBF"/>
    <w:rsid w:val="004377F0"/>
    <w:rsid w:val="0044468E"/>
    <w:rsid w:val="004457B1"/>
    <w:rsid w:val="00462337"/>
    <w:rsid w:val="00464EBF"/>
    <w:rsid w:val="00470821"/>
    <w:rsid w:val="00484322"/>
    <w:rsid w:val="00491CAF"/>
    <w:rsid w:val="00492AF8"/>
    <w:rsid w:val="004934E6"/>
    <w:rsid w:val="004A5460"/>
    <w:rsid w:val="004A6EA1"/>
    <w:rsid w:val="004B1914"/>
    <w:rsid w:val="004B53E3"/>
    <w:rsid w:val="004B761C"/>
    <w:rsid w:val="004C01AE"/>
    <w:rsid w:val="004C5E1C"/>
    <w:rsid w:val="004C6E15"/>
    <w:rsid w:val="004D23C9"/>
    <w:rsid w:val="004D2D73"/>
    <w:rsid w:val="004E24E6"/>
    <w:rsid w:val="004E2B12"/>
    <w:rsid w:val="004F14EC"/>
    <w:rsid w:val="005005DC"/>
    <w:rsid w:val="00502F81"/>
    <w:rsid w:val="00507616"/>
    <w:rsid w:val="00512C66"/>
    <w:rsid w:val="005132EB"/>
    <w:rsid w:val="00520D3A"/>
    <w:rsid w:val="00526E57"/>
    <w:rsid w:val="00530A7F"/>
    <w:rsid w:val="00534474"/>
    <w:rsid w:val="00542900"/>
    <w:rsid w:val="00546C64"/>
    <w:rsid w:val="0055425E"/>
    <w:rsid w:val="00554916"/>
    <w:rsid w:val="00557E3C"/>
    <w:rsid w:val="00566D2E"/>
    <w:rsid w:val="005672AD"/>
    <w:rsid w:val="00572547"/>
    <w:rsid w:val="0058635D"/>
    <w:rsid w:val="00591605"/>
    <w:rsid w:val="00594E1F"/>
    <w:rsid w:val="005A13B6"/>
    <w:rsid w:val="005B4A31"/>
    <w:rsid w:val="005C17F4"/>
    <w:rsid w:val="005C1BF7"/>
    <w:rsid w:val="005C5F6F"/>
    <w:rsid w:val="005D4158"/>
    <w:rsid w:val="005F2BEE"/>
    <w:rsid w:val="005F352C"/>
    <w:rsid w:val="005F49BE"/>
    <w:rsid w:val="0061677A"/>
    <w:rsid w:val="00620B9B"/>
    <w:rsid w:val="00624938"/>
    <w:rsid w:val="0062730F"/>
    <w:rsid w:val="0062773D"/>
    <w:rsid w:val="00640FCE"/>
    <w:rsid w:val="00641160"/>
    <w:rsid w:val="00647991"/>
    <w:rsid w:val="00647AC9"/>
    <w:rsid w:val="00652B6D"/>
    <w:rsid w:val="00653B6D"/>
    <w:rsid w:val="00655A41"/>
    <w:rsid w:val="0065608D"/>
    <w:rsid w:val="0066172B"/>
    <w:rsid w:val="006625D4"/>
    <w:rsid w:val="00662774"/>
    <w:rsid w:val="00676C08"/>
    <w:rsid w:val="006774EA"/>
    <w:rsid w:val="00690ECB"/>
    <w:rsid w:val="00692A94"/>
    <w:rsid w:val="00697CB2"/>
    <w:rsid w:val="006B13A0"/>
    <w:rsid w:val="006D06BF"/>
    <w:rsid w:val="006D4F51"/>
    <w:rsid w:val="006D71C6"/>
    <w:rsid w:val="006E3876"/>
    <w:rsid w:val="006E5D2D"/>
    <w:rsid w:val="006F1DB7"/>
    <w:rsid w:val="00701AC6"/>
    <w:rsid w:val="007038C7"/>
    <w:rsid w:val="0071017C"/>
    <w:rsid w:val="007133C3"/>
    <w:rsid w:val="007150AB"/>
    <w:rsid w:val="00721AED"/>
    <w:rsid w:val="007220D3"/>
    <w:rsid w:val="007224EE"/>
    <w:rsid w:val="00724A2A"/>
    <w:rsid w:val="00726A03"/>
    <w:rsid w:val="007314F6"/>
    <w:rsid w:val="00737AE7"/>
    <w:rsid w:val="00744101"/>
    <w:rsid w:val="007450E7"/>
    <w:rsid w:val="007523CE"/>
    <w:rsid w:val="00756B03"/>
    <w:rsid w:val="007609D8"/>
    <w:rsid w:val="00761948"/>
    <w:rsid w:val="0076369B"/>
    <w:rsid w:val="0076536B"/>
    <w:rsid w:val="00765500"/>
    <w:rsid w:val="00767F04"/>
    <w:rsid w:val="007712A1"/>
    <w:rsid w:val="0077540B"/>
    <w:rsid w:val="00775CDB"/>
    <w:rsid w:val="00780F90"/>
    <w:rsid w:val="007842E3"/>
    <w:rsid w:val="00785FC0"/>
    <w:rsid w:val="00787DC9"/>
    <w:rsid w:val="007933F1"/>
    <w:rsid w:val="00794BEE"/>
    <w:rsid w:val="00795D96"/>
    <w:rsid w:val="007A4702"/>
    <w:rsid w:val="007B0698"/>
    <w:rsid w:val="007B1EF8"/>
    <w:rsid w:val="007B3085"/>
    <w:rsid w:val="007B3DE9"/>
    <w:rsid w:val="007B4487"/>
    <w:rsid w:val="007B4F78"/>
    <w:rsid w:val="007B6396"/>
    <w:rsid w:val="007B6F7A"/>
    <w:rsid w:val="007B777E"/>
    <w:rsid w:val="007C3145"/>
    <w:rsid w:val="007C3B30"/>
    <w:rsid w:val="007D37A6"/>
    <w:rsid w:val="007D4364"/>
    <w:rsid w:val="007D4EF8"/>
    <w:rsid w:val="007E3019"/>
    <w:rsid w:val="007E31D6"/>
    <w:rsid w:val="007E403A"/>
    <w:rsid w:val="007E5AFA"/>
    <w:rsid w:val="007E67DA"/>
    <w:rsid w:val="007F08CC"/>
    <w:rsid w:val="007F1518"/>
    <w:rsid w:val="007F622A"/>
    <w:rsid w:val="00811A50"/>
    <w:rsid w:val="00816FB9"/>
    <w:rsid w:val="008236D0"/>
    <w:rsid w:val="008255CA"/>
    <w:rsid w:val="00825EC8"/>
    <w:rsid w:val="008307E3"/>
    <w:rsid w:val="00832D6D"/>
    <w:rsid w:val="00835340"/>
    <w:rsid w:val="00841D9F"/>
    <w:rsid w:val="00847215"/>
    <w:rsid w:val="0085091F"/>
    <w:rsid w:val="00853B77"/>
    <w:rsid w:val="0086141D"/>
    <w:rsid w:val="008645B9"/>
    <w:rsid w:val="00872C91"/>
    <w:rsid w:val="0088025E"/>
    <w:rsid w:val="0088342F"/>
    <w:rsid w:val="008866D5"/>
    <w:rsid w:val="00886C69"/>
    <w:rsid w:val="00896357"/>
    <w:rsid w:val="00896ED9"/>
    <w:rsid w:val="008A0593"/>
    <w:rsid w:val="008A1B5D"/>
    <w:rsid w:val="008A5CC4"/>
    <w:rsid w:val="008A7C64"/>
    <w:rsid w:val="008B3683"/>
    <w:rsid w:val="008C7323"/>
    <w:rsid w:val="008D04DC"/>
    <w:rsid w:val="008D098B"/>
    <w:rsid w:val="008D2A8E"/>
    <w:rsid w:val="008E1849"/>
    <w:rsid w:val="008E4A25"/>
    <w:rsid w:val="008E5AEC"/>
    <w:rsid w:val="008F1068"/>
    <w:rsid w:val="009031D6"/>
    <w:rsid w:val="009060A4"/>
    <w:rsid w:val="00906F42"/>
    <w:rsid w:val="00907FBE"/>
    <w:rsid w:val="009153CC"/>
    <w:rsid w:val="0092002C"/>
    <w:rsid w:val="00920EB9"/>
    <w:rsid w:val="0093256C"/>
    <w:rsid w:val="00932E94"/>
    <w:rsid w:val="00935907"/>
    <w:rsid w:val="00940F70"/>
    <w:rsid w:val="0095273F"/>
    <w:rsid w:val="009535EE"/>
    <w:rsid w:val="00957370"/>
    <w:rsid w:val="00961690"/>
    <w:rsid w:val="0097289C"/>
    <w:rsid w:val="00982817"/>
    <w:rsid w:val="009867D6"/>
    <w:rsid w:val="00986E49"/>
    <w:rsid w:val="00990685"/>
    <w:rsid w:val="00990A43"/>
    <w:rsid w:val="009A0E1B"/>
    <w:rsid w:val="009A3908"/>
    <w:rsid w:val="009A5C07"/>
    <w:rsid w:val="009B34F4"/>
    <w:rsid w:val="009B3CC5"/>
    <w:rsid w:val="009B6715"/>
    <w:rsid w:val="009C4798"/>
    <w:rsid w:val="009C7C90"/>
    <w:rsid w:val="009E3171"/>
    <w:rsid w:val="009E6668"/>
    <w:rsid w:val="009E7909"/>
    <w:rsid w:val="009F4239"/>
    <w:rsid w:val="009F6A8B"/>
    <w:rsid w:val="00A03DF3"/>
    <w:rsid w:val="00A17E1C"/>
    <w:rsid w:val="00A24FFD"/>
    <w:rsid w:val="00A27BFE"/>
    <w:rsid w:val="00A35A20"/>
    <w:rsid w:val="00A36F7A"/>
    <w:rsid w:val="00A40933"/>
    <w:rsid w:val="00A42970"/>
    <w:rsid w:val="00A442F2"/>
    <w:rsid w:val="00A45CAD"/>
    <w:rsid w:val="00A462B3"/>
    <w:rsid w:val="00A57130"/>
    <w:rsid w:val="00A62AF6"/>
    <w:rsid w:val="00A62EBB"/>
    <w:rsid w:val="00A63D5B"/>
    <w:rsid w:val="00A63F79"/>
    <w:rsid w:val="00A65BAB"/>
    <w:rsid w:val="00A706A9"/>
    <w:rsid w:val="00A77589"/>
    <w:rsid w:val="00A96350"/>
    <w:rsid w:val="00AA02EB"/>
    <w:rsid w:val="00AA5ED1"/>
    <w:rsid w:val="00AA7889"/>
    <w:rsid w:val="00AB2709"/>
    <w:rsid w:val="00AD476B"/>
    <w:rsid w:val="00AE1C31"/>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50BAC"/>
    <w:rsid w:val="00B52CA9"/>
    <w:rsid w:val="00B54124"/>
    <w:rsid w:val="00B56C15"/>
    <w:rsid w:val="00B635F9"/>
    <w:rsid w:val="00B64959"/>
    <w:rsid w:val="00B7005D"/>
    <w:rsid w:val="00B70845"/>
    <w:rsid w:val="00B71769"/>
    <w:rsid w:val="00B75BAE"/>
    <w:rsid w:val="00B8083F"/>
    <w:rsid w:val="00B86C48"/>
    <w:rsid w:val="00B940DF"/>
    <w:rsid w:val="00BB7132"/>
    <w:rsid w:val="00BC2552"/>
    <w:rsid w:val="00BC622B"/>
    <w:rsid w:val="00BC6517"/>
    <w:rsid w:val="00BC66E7"/>
    <w:rsid w:val="00BC7F02"/>
    <w:rsid w:val="00BD2690"/>
    <w:rsid w:val="00BE119E"/>
    <w:rsid w:val="00BE4FED"/>
    <w:rsid w:val="00BF3706"/>
    <w:rsid w:val="00C03938"/>
    <w:rsid w:val="00C03AC6"/>
    <w:rsid w:val="00C13C76"/>
    <w:rsid w:val="00C20564"/>
    <w:rsid w:val="00C22111"/>
    <w:rsid w:val="00C23C35"/>
    <w:rsid w:val="00C2535E"/>
    <w:rsid w:val="00C31268"/>
    <w:rsid w:val="00C3611F"/>
    <w:rsid w:val="00C366CB"/>
    <w:rsid w:val="00C414EE"/>
    <w:rsid w:val="00C50D06"/>
    <w:rsid w:val="00C50F1D"/>
    <w:rsid w:val="00C532A5"/>
    <w:rsid w:val="00C542D0"/>
    <w:rsid w:val="00C63851"/>
    <w:rsid w:val="00C63E31"/>
    <w:rsid w:val="00C66201"/>
    <w:rsid w:val="00C74074"/>
    <w:rsid w:val="00C76A03"/>
    <w:rsid w:val="00C8028F"/>
    <w:rsid w:val="00C815AD"/>
    <w:rsid w:val="00C871CD"/>
    <w:rsid w:val="00C92614"/>
    <w:rsid w:val="00C939F2"/>
    <w:rsid w:val="00CB03E0"/>
    <w:rsid w:val="00CB23CE"/>
    <w:rsid w:val="00CB2E0F"/>
    <w:rsid w:val="00CB5975"/>
    <w:rsid w:val="00CB5E6A"/>
    <w:rsid w:val="00CB6157"/>
    <w:rsid w:val="00CC064F"/>
    <w:rsid w:val="00CC08B7"/>
    <w:rsid w:val="00CC2B86"/>
    <w:rsid w:val="00CC43DA"/>
    <w:rsid w:val="00CC4B9E"/>
    <w:rsid w:val="00CD2E61"/>
    <w:rsid w:val="00CD4BDE"/>
    <w:rsid w:val="00CE0576"/>
    <w:rsid w:val="00CE5D77"/>
    <w:rsid w:val="00CF1C52"/>
    <w:rsid w:val="00CF2D90"/>
    <w:rsid w:val="00CF3E9E"/>
    <w:rsid w:val="00CF51E5"/>
    <w:rsid w:val="00D07A78"/>
    <w:rsid w:val="00D1087A"/>
    <w:rsid w:val="00D11AD9"/>
    <w:rsid w:val="00D11E75"/>
    <w:rsid w:val="00D25618"/>
    <w:rsid w:val="00D2655C"/>
    <w:rsid w:val="00D32790"/>
    <w:rsid w:val="00D42A35"/>
    <w:rsid w:val="00D44176"/>
    <w:rsid w:val="00D45806"/>
    <w:rsid w:val="00D50179"/>
    <w:rsid w:val="00D53550"/>
    <w:rsid w:val="00D53C2F"/>
    <w:rsid w:val="00D56CE1"/>
    <w:rsid w:val="00D6196D"/>
    <w:rsid w:val="00D62193"/>
    <w:rsid w:val="00D679A2"/>
    <w:rsid w:val="00D70BDF"/>
    <w:rsid w:val="00D757D5"/>
    <w:rsid w:val="00D844CD"/>
    <w:rsid w:val="00D86C0A"/>
    <w:rsid w:val="00D923F2"/>
    <w:rsid w:val="00DA1B9A"/>
    <w:rsid w:val="00DA7B6D"/>
    <w:rsid w:val="00DB32D0"/>
    <w:rsid w:val="00DB7753"/>
    <w:rsid w:val="00DC69F1"/>
    <w:rsid w:val="00DE093B"/>
    <w:rsid w:val="00DE4BE7"/>
    <w:rsid w:val="00DE5572"/>
    <w:rsid w:val="00DE796D"/>
    <w:rsid w:val="00E030D4"/>
    <w:rsid w:val="00E116C9"/>
    <w:rsid w:val="00E16740"/>
    <w:rsid w:val="00E23345"/>
    <w:rsid w:val="00E278E8"/>
    <w:rsid w:val="00E42515"/>
    <w:rsid w:val="00E513A1"/>
    <w:rsid w:val="00E522FE"/>
    <w:rsid w:val="00E57FF6"/>
    <w:rsid w:val="00E6533C"/>
    <w:rsid w:val="00E72CE0"/>
    <w:rsid w:val="00E77AC4"/>
    <w:rsid w:val="00E80422"/>
    <w:rsid w:val="00E8069D"/>
    <w:rsid w:val="00E82924"/>
    <w:rsid w:val="00E9695C"/>
    <w:rsid w:val="00E9755B"/>
    <w:rsid w:val="00EB3933"/>
    <w:rsid w:val="00EB3C1A"/>
    <w:rsid w:val="00EB6F52"/>
    <w:rsid w:val="00EC4E5C"/>
    <w:rsid w:val="00ED0713"/>
    <w:rsid w:val="00ED0E87"/>
    <w:rsid w:val="00ED7BDC"/>
    <w:rsid w:val="00EE3605"/>
    <w:rsid w:val="00EE6EFD"/>
    <w:rsid w:val="00EE70BB"/>
    <w:rsid w:val="00EF1A68"/>
    <w:rsid w:val="00EF4AB2"/>
    <w:rsid w:val="00F032FE"/>
    <w:rsid w:val="00F03394"/>
    <w:rsid w:val="00F120E1"/>
    <w:rsid w:val="00F13661"/>
    <w:rsid w:val="00F15B55"/>
    <w:rsid w:val="00F176BB"/>
    <w:rsid w:val="00F249A4"/>
    <w:rsid w:val="00F307ED"/>
    <w:rsid w:val="00F31548"/>
    <w:rsid w:val="00F33E4A"/>
    <w:rsid w:val="00F42D8E"/>
    <w:rsid w:val="00F46DA6"/>
    <w:rsid w:val="00F51112"/>
    <w:rsid w:val="00F558E7"/>
    <w:rsid w:val="00F670FA"/>
    <w:rsid w:val="00F67A74"/>
    <w:rsid w:val="00F71D1D"/>
    <w:rsid w:val="00F8398C"/>
    <w:rsid w:val="00F92065"/>
    <w:rsid w:val="00F93A5B"/>
    <w:rsid w:val="00F93AB4"/>
    <w:rsid w:val="00F93C84"/>
    <w:rsid w:val="00FB10A8"/>
    <w:rsid w:val="00FB1B76"/>
    <w:rsid w:val="00FB1D13"/>
    <w:rsid w:val="00FB3296"/>
    <w:rsid w:val="00FB3504"/>
    <w:rsid w:val="00FB5080"/>
    <w:rsid w:val="00FC3430"/>
    <w:rsid w:val="00FC5AE2"/>
    <w:rsid w:val="00FD5CB6"/>
    <w:rsid w:val="00FD6E3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48BED-CD66-4067-9D6C-128ED5026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801</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Akoum, Salam</cp:lastModifiedBy>
  <cp:revision>5</cp:revision>
  <dcterms:created xsi:type="dcterms:W3CDTF">2017-05-06T14:38:00Z</dcterms:created>
  <dcterms:modified xsi:type="dcterms:W3CDTF">2017-05-06T14:42:00Z</dcterms:modified>
</cp:coreProperties>
</file>